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7044370E" w14:textId="77AB8D57" w:rsidR="00DA4F73" w:rsidRPr="00750130" w:rsidRDefault="0084116D" w:rsidP="00750130">
      <w:pPr>
        <w:pStyle w:val="02authors"/>
        <w:spacing w:before="120"/>
        <w:rPr>
          <w:rStyle w:val="InternetLink"/>
          <w:color w:val="00000A"/>
          <w:u w:val="none"/>
          <w:lang w:val="es-ES" w:eastAsia="zh-CN" w:bidi="ar-SA"/>
        </w:rPr>
      </w:pPr>
      <w:r w:rsidRPr="0084116D">
        <w:rPr>
          <w:lang w:val="es-ES"/>
        </w:rPr>
        <w:t>PREPARACIÓN DE MEMBRANAS DE INTERCAMBIO IÓNICO SOBRE SOPORTES RECICLADOS DE</w:t>
      </w:r>
      <w:r>
        <w:rPr>
          <w:lang w:val="es-ES"/>
        </w:rPr>
        <w:t xml:space="preserve"> </w:t>
      </w:r>
      <w:r w:rsidRPr="0084116D">
        <w:rPr>
          <w:lang w:val="es-ES"/>
        </w:rPr>
        <w:t>MEMBRANAS DESECHADAS</w:t>
      </w:r>
    </w:p>
    <w:p w14:paraId="38E447A9" w14:textId="77777777" w:rsidR="00DA4F73" w:rsidRDefault="00DA4F73">
      <w:pPr>
        <w:jc w:val="center"/>
      </w:pPr>
    </w:p>
    <w:p w14:paraId="01E16F27" w14:textId="47ED3411" w:rsidR="00DA4F73" w:rsidRPr="00DA4F73" w:rsidRDefault="00DA4F73" w:rsidP="00DA4F73">
      <w:pPr>
        <w:jc w:val="center"/>
        <w:rPr>
          <w:b/>
          <w:bCs/>
          <w:vertAlign w:val="superscript"/>
        </w:rPr>
      </w:pPr>
      <w:bookmarkStart w:id="0" w:name="_Hlk42239789"/>
      <w:r w:rsidRPr="00DA4F73">
        <w:rPr>
          <w:b/>
          <w:bCs/>
        </w:rPr>
        <w:t xml:space="preserve">Amaia Lejarazu-Larrañaga </w:t>
      </w:r>
      <w:r>
        <w:rPr>
          <w:b/>
          <w:bCs/>
          <w:vertAlign w:val="superscript"/>
        </w:rPr>
        <w:t xml:space="preserve">1, </w:t>
      </w:r>
      <w:r w:rsidRPr="00DA4F73">
        <w:rPr>
          <w:b/>
          <w:bCs/>
          <w:vertAlign w:val="superscript"/>
        </w:rPr>
        <w:t>2</w:t>
      </w:r>
      <w:r w:rsidRPr="00DA4F73">
        <w:rPr>
          <w:b/>
          <w:bCs/>
        </w:rPr>
        <w:t xml:space="preserve">, Serena Molina </w:t>
      </w:r>
      <w:r>
        <w:rPr>
          <w:b/>
          <w:bCs/>
          <w:vertAlign w:val="superscript"/>
        </w:rPr>
        <w:t>1</w:t>
      </w:r>
      <w:r w:rsidRPr="00DA4F73">
        <w:rPr>
          <w:b/>
          <w:bCs/>
        </w:rPr>
        <w:t xml:space="preserve">, Juan Manuel Ortiz </w:t>
      </w:r>
      <w:r>
        <w:rPr>
          <w:b/>
          <w:bCs/>
          <w:vertAlign w:val="superscript"/>
        </w:rPr>
        <w:t>1</w:t>
      </w:r>
      <w:r>
        <w:rPr>
          <w:b/>
          <w:bCs/>
        </w:rPr>
        <w:t>,</w:t>
      </w:r>
      <w:r w:rsidRPr="00DA4F73">
        <w:rPr>
          <w:b/>
          <w:bCs/>
        </w:rPr>
        <w:t xml:space="preserve"> Eloy García-Calvo </w:t>
      </w:r>
      <w:r>
        <w:rPr>
          <w:b/>
          <w:bCs/>
          <w:vertAlign w:val="superscript"/>
        </w:rPr>
        <w:t>1, 2</w:t>
      </w:r>
    </w:p>
    <w:p w14:paraId="4071DABF" w14:textId="77777777" w:rsidR="00DA4F73" w:rsidRPr="00DA4F73" w:rsidRDefault="00DA4F73" w:rsidP="00DA4F73">
      <w:pPr>
        <w:jc w:val="center"/>
      </w:pPr>
    </w:p>
    <w:bookmarkEnd w:id="0"/>
    <w:p w14:paraId="6AE1B857" w14:textId="50931BCD" w:rsidR="00DA4F73" w:rsidRPr="00DA4F73" w:rsidRDefault="00FA6FB8" w:rsidP="00750130">
      <w:pPr>
        <w:jc w:val="center"/>
      </w:pPr>
      <w:r w:rsidRPr="00FA6FB8">
        <w:rPr>
          <w:vertAlign w:val="superscript"/>
        </w:rPr>
        <w:t>1</w:t>
      </w:r>
      <w:r w:rsidR="00DA4F73" w:rsidRPr="00FA6FB8">
        <w:t xml:space="preserve">Instituto </w:t>
      </w:r>
      <w:r w:rsidR="00DA4F73" w:rsidRPr="00DA4F73">
        <w:t xml:space="preserve">IMDEA </w:t>
      </w:r>
      <w:r w:rsidR="00DA4F73" w:rsidRPr="00FA6FB8">
        <w:t>Agua</w:t>
      </w:r>
    </w:p>
    <w:p w14:paraId="7069C21C" w14:textId="2ECD0BD0" w:rsidR="00DA4F73" w:rsidRDefault="00FA6FB8" w:rsidP="00750130">
      <w:pPr>
        <w:jc w:val="center"/>
      </w:pPr>
      <w:r w:rsidRPr="00FA6FB8">
        <w:rPr>
          <w:vertAlign w:val="superscript"/>
        </w:rPr>
        <w:t>2</w:t>
      </w:r>
      <w:r w:rsidRPr="00FA6FB8">
        <w:t xml:space="preserve"> </w:t>
      </w:r>
      <w:proofErr w:type="gramStart"/>
      <w:r w:rsidR="00A078BD" w:rsidRPr="00A078BD">
        <w:t>Dpto.</w:t>
      </w:r>
      <w:proofErr w:type="gramEnd"/>
      <w:r w:rsidR="00A078BD" w:rsidRPr="00A078BD">
        <w:t xml:space="preserve"> de Química Analítica, Quím. Física e Ing. Quím. Universidad de Alcalá.</w:t>
      </w:r>
      <w:r w:rsidR="00A078BD">
        <w:t xml:space="preserve"> </w:t>
      </w:r>
    </w:p>
    <w:p w14:paraId="253B1127" w14:textId="168F8C26" w:rsidR="00750130" w:rsidRPr="00DA4F73" w:rsidRDefault="00A078BD" w:rsidP="00750130">
      <w:pPr>
        <w:jc w:val="center"/>
      </w:pPr>
      <w:hyperlink r:id="rId8" w:history="1">
        <w:r w:rsidR="00750130" w:rsidRPr="00437554">
          <w:rPr>
            <w:rStyle w:val="Hyperlink"/>
          </w:rPr>
          <w:t>amaia.ortiz@imdea.org</w:t>
        </w:r>
      </w:hyperlink>
    </w:p>
    <w:p w14:paraId="2448AA94" w14:textId="67CD1ED3" w:rsidR="00DA4F73" w:rsidRPr="00671C6F" w:rsidRDefault="00DA4F73" w:rsidP="00DA4F73">
      <w:pPr>
        <w:jc w:val="center"/>
      </w:pPr>
    </w:p>
    <w:p w14:paraId="5593A6AA" w14:textId="12C4B3BB" w:rsidR="00EB4D17" w:rsidRPr="00671C6F" w:rsidRDefault="00B83D0E">
      <w:pPr>
        <w:jc w:val="center"/>
      </w:pPr>
      <w:r w:rsidRPr="00671C6F">
        <w:tab/>
      </w:r>
      <w:r w:rsidRPr="00671C6F">
        <w:tab/>
      </w:r>
    </w:p>
    <w:p w14:paraId="1C6DB6CE" w14:textId="1566F7C8" w:rsidR="00EB4D17" w:rsidRPr="00671C6F" w:rsidRDefault="00750130">
      <w:pPr>
        <w:rPr>
          <w:sz w:val="22"/>
          <w:szCs w:val="22"/>
        </w:rPr>
      </w:pPr>
      <w:r w:rsidRPr="00E52155">
        <w:rPr>
          <w:noProof/>
          <w:lang w:eastAsia="es-ES"/>
        </w:rPr>
        <w:drawing>
          <wp:anchor distT="0" distB="0" distL="114300" distR="114300" simplePos="0" relativeHeight="251657216" behindDoc="1" locked="0" layoutInCell="1" allowOverlap="1" wp14:anchorId="2A3C5E5E" wp14:editId="17EBE7B0">
            <wp:simplePos x="0" y="0"/>
            <wp:positionH relativeFrom="column">
              <wp:posOffset>0</wp:posOffset>
            </wp:positionH>
            <wp:positionV relativeFrom="paragraph">
              <wp:posOffset>161290</wp:posOffset>
            </wp:positionV>
            <wp:extent cx="932815" cy="1134110"/>
            <wp:effectExtent l="0" t="0" r="635" b="8890"/>
            <wp:wrapTight wrapText="bothSides">
              <wp:wrapPolygon edited="0">
                <wp:start x="0" y="0"/>
                <wp:lineTo x="0" y="21406"/>
                <wp:lineTo x="21174" y="21406"/>
                <wp:lineTo x="21174" y="0"/>
                <wp:lineTo x="0" y="0"/>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815" cy="1134110"/>
                    </a:xfrm>
                    <a:prstGeom prst="rect">
                      <a:avLst/>
                    </a:prstGeom>
                    <a:noFill/>
                  </pic:spPr>
                </pic:pic>
              </a:graphicData>
            </a:graphic>
            <wp14:sizeRelH relativeFrom="page">
              <wp14:pctWidth>0</wp14:pctWidth>
            </wp14:sizeRelH>
            <wp14:sizeRelV relativeFrom="page">
              <wp14:pctHeight>0</wp14:pctHeight>
            </wp14:sizeRelV>
          </wp:anchor>
        </w:drawing>
      </w:r>
    </w:p>
    <w:p w14:paraId="0E347210" w14:textId="3AF10B60" w:rsidR="00EB4D17" w:rsidRDefault="00750130" w:rsidP="493B35FF">
      <w:pPr>
        <w:jc w:val="both"/>
        <w:rPr>
          <w:sz w:val="22"/>
          <w:szCs w:val="22"/>
        </w:rPr>
      </w:pPr>
      <w:r w:rsidRPr="493B35FF">
        <w:rPr>
          <w:sz w:val="22"/>
          <w:szCs w:val="22"/>
        </w:rPr>
        <w:t xml:space="preserve">Amaia Lejarazu-Larrañaga desarrolla su tesis doctoral en el </w:t>
      </w:r>
      <w:r w:rsidR="00B729EA" w:rsidRPr="493B35FF">
        <w:rPr>
          <w:sz w:val="22"/>
          <w:szCs w:val="22"/>
        </w:rPr>
        <w:t xml:space="preserve">Grupo </w:t>
      </w:r>
      <w:r w:rsidRPr="493B35FF">
        <w:rPr>
          <w:sz w:val="22"/>
          <w:szCs w:val="22"/>
        </w:rPr>
        <w:t xml:space="preserve">de </w:t>
      </w:r>
      <w:r w:rsidR="00B729EA" w:rsidRPr="493B35FF">
        <w:rPr>
          <w:sz w:val="22"/>
          <w:szCs w:val="22"/>
        </w:rPr>
        <w:t xml:space="preserve">Tecnología </w:t>
      </w:r>
      <w:r w:rsidRPr="493B35FF">
        <w:rPr>
          <w:sz w:val="22"/>
          <w:szCs w:val="22"/>
        </w:rPr>
        <w:t xml:space="preserve">de </w:t>
      </w:r>
      <w:r w:rsidR="00B729EA" w:rsidRPr="493B35FF">
        <w:rPr>
          <w:sz w:val="22"/>
          <w:szCs w:val="22"/>
        </w:rPr>
        <w:t xml:space="preserve">Membranas </w:t>
      </w:r>
      <w:r w:rsidRPr="493B35FF">
        <w:rPr>
          <w:sz w:val="22"/>
          <w:szCs w:val="22"/>
        </w:rPr>
        <w:t xml:space="preserve">del Instituto IMDEA Agua y como parte del </w:t>
      </w:r>
      <w:r w:rsidR="00B729EA" w:rsidRPr="493B35FF">
        <w:rPr>
          <w:sz w:val="22"/>
          <w:szCs w:val="22"/>
        </w:rPr>
        <w:t xml:space="preserve">Departamento </w:t>
      </w:r>
      <w:r w:rsidRPr="493B35FF">
        <w:rPr>
          <w:sz w:val="22"/>
          <w:szCs w:val="22"/>
        </w:rPr>
        <w:t xml:space="preserve">de </w:t>
      </w:r>
      <w:r w:rsidR="00B729EA" w:rsidRPr="493B35FF">
        <w:rPr>
          <w:sz w:val="22"/>
          <w:szCs w:val="22"/>
        </w:rPr>
        <w:t xml:space="preserve">Ingeniería Química </w:t>
      </w:r>
      <w:r w:rsidRPr="493B35FF">
        <w:rPr>
          <w:sz w:val="22"/>
          <w:szCs w:val="22"/>
        </w:rPr>
        <w:t>de la Universidad de Alcalá. Su investigación se centra en el reciclaje de membranas, preparación de membranas de intercambio iónico, procesos de electro-separación y separación selectiva de iones.</w:t>
      </w:r>
    </w:p>
    <w:p w14:paraId="0D0894FA" w14:textId="77777777" w:rsidR="00EB4D17" w:rsidRDefault="00EB4D17">
      <w:pPr>
        <w:spacing w:before="120"/>
        <w:jc w:val="both"/>
        <w:rPr>
          <w:b/>
          <w:sz w:val="28"/>
          <w:szCs w:val="28"/>
        </w:rPr>
      </w:pPr>
    </w:p>
    <w:p w14:paraId="5BCA0A54" w14:textId="01FC1067" w:rsidR="00BF1228" w:rsidRDefault="00B83D0E" w:rsidP="493B35FF">
      <w:pPr>
        <w:spacing w:line="260" w:lineRule="atLeast"/>
        <w:jc w:val="both"/>
      </w:pPr>
      <w:r w:rsidRPr="493B35FF">
        <w:rPr>
          <w:b/>
          <w:bCs/>
        </w:rPr>
        <w:t>Resumen</w:t>
      </w:r>
      <w:r w:rsidRPr="493B35FF">
        <w:t xml:space="preserve">: </w:t>
      </w:r>
      <w:r w:rsidR="001A383F" w:rsidRPr="493B35FF">
        <w:t>Este trabajo describe una nueva metodología para la preparación de Membranas de Intercambio Iónico utilizando</w:t>
      </w:r>
      <w:r w:rsidR="00671C6F" w:rsidRPr="493B35FF">
        <w:t xml:space="preserve"> como soporte diferentes componentes </w:t>
      </w:r>
      <w:r w:rsidR="00DC5AD2" w:rsidRPr="493B35FF">
        <w:t xml:space="preserve">reciclados </w:t>
      </w:r>
      <w:r w:rsidR="00671C6F" w:rsidRPr="493B35FF">
        <w:t xml:space="preserve">de un </w:t>
      </w:r>
      <w:r w:rsidR="00DC5AD2" w:rsidRPr="493B35FF">
        <w:t>módulo</w:t>
      </w:r>
      <w:r w:rsidR="00671C6F" w:rsidRPr="493B35FF">
        <w:t xml:space="preserve"> de </w:t>
      </w:r>
      <w:r w:rsidR="00DC5AD2" w:rsidRPr="493B35FF">
        <w:t>Ó</w:t>
      </w:r>
      <w:r w:rsidR="00671C6F" w:rsidRPr="493B35FF">
        <w:t>smosis Inversa al final de su vida útil</w:t>
      </w:r>
      <w:r w:rsidR="001A383F" w:rsidRPr="493B35FF">
        <w:t xml:space="preserve">. </w:t>
      </w:r>
    </w:p>
    <w:p w14:paraId="6E269A42" w14:textId="77777777" w:rsidR="00BF1228" w:rsidRDefault="00BF1228" w:rsidP="493B35FF">
      <w:pPr>
        <w:spacing w:line="260" w:lineRule="atLeast"/>
        <w:ind w:firstLine="397"/>
        <w:jc w:val="both"/>
      </w:pPr>
    </w:p>
    <w:p w14:paraId="6990E22B" w14:textId="756F01D6" w:rsidR="00EB4D17" w:rsidRDefault="001A383F" w:rsidP="493B35FF">
      <w:pPr>
        <w:spacing w:before="120"/>
        <w:jc w:val="both"/>
      </w:pPr>
      <w:r w:rsidRPr="493B35FF">
        <w:rPr>
          <w:b/>
          <w:bCs/>
        </w:rPr>
        <w:t>P</w:t>
      </w:r>
      <w:r w:rsidR="00B83D0E" w:rsidRPr="493B35FF">
        <w:rPr>
          <w:b/>
          <w:bCs/>
        </w:rPr>
        <w:t>alabras clave:</w:t>
      </w:r>
      <w:r w:rsidR="00B83D0E" w:rsidRPr="493B35FF">
        <w:t xml:space="preserve"> </w:t>
      </w:r>
      <w:r w:rsidR="00BF1228" w:rsidRPr="493B35FF">
        <w:t>Reciclaje de membranas; membranas de intercambio iónico;</w:t>
      </w:r>
      <w:r w:rsidR="00564DDE" w:rsidRPr="493B35FF">
        <w:t xml:space="preserve"> soporte mecánico; propiedades electroquímicas. </w:t>
      </w:r>
    </w:p>
    <w:p w14:paraId="787D2682" w14:textId="743B4F58" w:rsidR="001A383F" w:rsidRDefault="001A383F" w:rsidP="493B35FF">
      <w:pPr>
        <w:spacing w:before="120"/>
        <w:jc w:val="both"/>
      </w:pPr>
    </w:p>
    <w:p w14:paraId="4BA0CF32" w14:textId="7CD3948F" w:rsidR="00EB4D17" w:rsidRPr="00BF1228" w:rsidRDefault="00B83D0E" w:rsidP="493B35FF">
      <w:pPr>
        <w:spacing w:before="120"/>
        <w:jc w:val="both"/>
        <w:rPr>
          <w:lang w:val="en-US"/>
        </w:rPr>
      </w:pPr>
      <w:r w:rsidRPr="493B35FF">
        <w:rPr>
          <w:b/>
          <w:bCs/>
          <w:lang w:val="en-US"/>
        </w:rPr>
        <w:t xml:space="preserve">Abstract: </w:t>
      </w:r>
      <w:r w:rsidR="001A383F" w:rsidRPr="493B35FF">
        <w:rPr>
          <w:lang w:val="en-US"/>
        </w:rPr>
        <w:t>The present work describes a new methodology for the preparation of Ion</w:t>
      </w:r>
      <w:r w:rsidR="00FC3403" w:rsidRPr="493B35FF">
        <w:rPr>
          <w:lang w:val="en-US"/>
        </w:rPr>
        <w:t>-</w:t>
      </w:r>
      <w:r w:rsidR="001A383F" w:rsidRPr="493B35FF">
        <w:rPr>
          <w:lang w:val="en-US"/>
        </w:rPr>
        <w:t>Exchange Membranes using</w:t>
      </w:r>
      <w:r w:rsidR="00671C6F" w:rsidRPr="493B35FF">
        <w:rPr>
          <w:lang w:val="en-US"/>
        </w:rPr>
        <w:t xml:space="preserve"> as supporting material different components</w:t>
      </w:r>
      <w:r w:rsidR="00DC5AD2" w:rsidRPr="493B35FF">
        <w:rPr>
          <w:lang w:val="en-US"/>
        </w:rPr>
        <w:t xml:space="preserve"> recycled f</w:t>
      </w:r>
      <w:r w:rsidR="00B729EA" w:rsidRPr="493B35FF">
        <w:rPr>
          <w:lang w:val="en-US"/>
        </w:rPr>
        <w:t>r</w:t>
      </w:r>
      <w:r w:rsidR="00DC5AD2" w:rsidRPr="493B35FF">
        <w:rPr>
          <w:lang w:val="en-US"/>
        </w:rPr>
        <w:t>om an</w:t>
      </w:r>
      <w:r w:rsidR="00671C6F" w:rsidRPr="493B35FF">
        <w:rPr>
          <w:lang w:val="en-US"/>
        </w:rPr>
        <w:t xml:space="preserve"> </w:t>
      </w:r>
      <w:r w:rsidR="001A383F" w:rsidRPr="493B35FF">
        <w:rPr>
          <w:lang w:val="en-US"/>
        </w:rPr>
        <w:t>end-of-life Reverse Osmosis membrane</w:t>
      </w:r>
      <w:r w:rsidR="00671C6F" w:rsidRPr="493B35FF">
        <w:rPr>
          <w:lang w:val="en-US"/>
        </w:rPr>
        <w:t>.</w:t>
      </w:r>
    </w:p>
    <w:p w14:paraId="73398681" w14:textId="148F6350" w:rsidR="00EB4D17" w:rsidRPr="004D58E0" w:rsidRDefault="00B83D0E" w:rsidP="493B35FF">
      <w:pPr>
        <w:spacing w:before="120"/>
        <w:jc w:val="both"/>
        <w:rPr>
          <w:lang w:val="en-GB"/>
        </w:rPr>
      </w:pPr>
      <w:r w:rsidRPr="493B35FF">
        <w:rPr>
          <w:b/>
          <w:bCs/>
          <w:lang w:val="en-GB"/>
        </w:rPr>
        <w:t xml:space="preserve">Keywords: </w:t>
      </w:r>
      <w:r w:rsidR="00BF1228" w:rsidRPr="493B35FF">
        <w:rPr>
          <w:lang w:val="en-GB"/>
        </w:rPr>
        <w:t xml:space="preserve">Membrane recycling; ion exchange membrane; </w:t>
      </w:r>
      <w:r w:rsidR="00564DDE" w:rsidRPr="493B35FF">
        <w:rPr>
          <w:lang w:val="en-GB"/>
        </w:rPr>
        <w:t>mechanical support, electrochemical properties</w:t>
      </w:r>
      <w:r w:rsidR="00BF1228" w:rsidRPr="493B35FF">
        <w:rPr>
          <w:lang w:val="en-GB"/>
        </w:rPr>
        <w:t xml:space="preserve">. </w:t>
      </w:r>
    </w:p>
    <w:p w14:paraId="00E9FECD" w14:textId="18C6838B" w:rsidR="00BF3013" w:rsidRPr="00FC3403" w:rsidRDefault="00BF3013">
      <w:pPr>
        <w:spacing w:before="120"/>
        <w:jc w:val="both"/>
        <w:rPr>
          <w:lang w:val="en-GB"/>
        </w:rPr>
      </w:pPr>
    </w:p>
    <w:p w14:paraId="62DBAE32" w14:textId="4DBC7430" w:rsidR="00EB4D17" w:rsidRPr="00FC3403" w:rsidRDefault="00BF3013" w:rsidP="00336981">
      <w:pPr>
        <w:suppressAutoHyphens w:val="0"/>
        <w:rPr>
          <w:lang w:val="en-GB"/>
        </w:rPr>
      </w:pPr>
      <w:r w:rsidRPr="00FC3403">
        <w:rPr>
          <w:lang w:val="en-GB"/>
        </w:rPr>
        <w:br w:type="page"/>
      </w:r>
    </w:p>
    <w:p w14:paraId="20B696A9" w14:textId="77777777" w:rsidR="00EB4D17" w:rsidRDefault="00B83D0E">
      <w:pPr>
        <w:pStyle w:val="08text"/>
        <w:spacing w:before="360" w:after="240" w:line="312" w:lineRule="auto"/>
        <w:rPr>
          <w:b/>
          <w:bCs/>
          <w:sz w:val="28"/>
          <w:szCs w:val="28"/>
          <w:lang w:val="es-ES"/>
        </w:rPr>
      </w:pPr>
      <w:r>
        <w:rPr>
          <w:b/>
          <w:bCs/>
          <w:sz w:val="28"/>
          <w:szCs w:val="28"/>
          <w:lang w:val="es-ES"/>
        </w:rPr>
        <w:lastRenderedPageBreak/>
        <w:t>1.- Introducción</w:t>
      </w:r>
    </w:p>
    <w:p w14:paraId="7412AA31" w14:textId="3D378531" w:rsidR="005D6AD8" w:rsidRPr="009257B7" w:rsidRDefault="006D7C9E" w:rsidP="009257B7">
      <w:pPr>
        <w:pStyle w:val="08text"/>
        <w:spacing w:before="120" w:line="312" w:lineRule="auto"/>
        <w:ind w:firstLine="720"/>
        <w:rPr>
          <w:lang w:val="es-ES"/>
        </w:rPr>
      </w:pPr>
      <w:r w:rsidRPr="009257B7">
        <w:rPr>
          <w:lang w:val="es-ES"/>
        </w:rPr>
        <w:t xml:space="preserve">La escasez y contaminación de las masas de agua, junto con el continuo incremento de la demanda hídrica, han llevado a gran parte de la </w:t>
      </w:r>
      <w:r w:rsidR="00532F6F">
        <w:rPr>
          <w:lang w:val="es-ES"/>
        </w:rPr>
        <w:t>población</w:t>
      </w:r>
      <w:r w:rsidRPr="009257B7">
        <w:rPr>
          <w:lang w:val="es-ES"/>
        </w:rPr>
        <w:t xml:space="preserve"> mundial a vivir en </w:t>
      </w:r>
      <w:r w:rsidR="009E04E2" w:rsidRPr="009257B7">
        <w:rPr>
          <w:lang w:val="es-ES"/>
        </w:rPr>
        <w:t xml:space="preserve">condiciones de </w:t>
      </w:r>
      <w:r w:rsidRPr="009257B7">
        <w:rPr>
          <w:lang w:val="es-ES"/>
        </w:rPr>
        <w:t>escasez de agu</w:t>
      </w:r>
      <w:r w:rsidR="005D6AD8" w:rsidRPr="009257B7">
        <w:rPr>
          <w:lang w:val="es-ES"/>
        </w:rPr>
        <w:t xml:space="preserve">a. Esta situación ha generado un continuo desarrollo </w:t>
      </w:r>
      <w:r w:rsidR="009E04E2" w:rsidRPr="009257B7">
        <w:rPr>
          <w:lang w:val="es-ES"/>
        </w:rPr>
        <w:t>de</w:t>
      </w:r>
      <w:r w:rsidR="005D6AD8" w:rsidRPr="009257B7">
        <w:rPr>
          <w:lang w:val="es-ES"/>
        </w:rPr>
        <w:t xml:space="preserve"> la industria de la desalación, como herramienta clave para la producción de agua potable a partir de fuentes de agua no convencionales como el agua salobre y el agua salada. Entre otras tecnologías disponibles, la Ósmosis Inversa (OI) es la tecnología la más utilizada, contando con una capacidad mundial instalada de 97</w:t>
      </w:r>
      <w:r w:rsidR="00B327EA">
        <w:rPr>
          <w:lang w:val="es-ES"/>
        </w:rPr>
        <w:t>,</w:t>
      </w:r>
      <w:r w:rsidR="005D6AD8" w:rsidRPr="009257B7">
        <w:rPr>
          <w:lang w:val="es-ES"/>
        </w:rPr>
        <w:t>4 Hm</w:t>
      </w:r>
      <w:r w:rsidR="005D6AD8" w:rsidRPr="009257B7">
        <w:rPr>
          <w:vertAlign w:val="superscript"/>
          <w:lang w:val="es-ES"/>
        </w:rPr>
        <w:t>3</w:t>
      </w:r>
      <w:r w:rsidR="005D6AD8" w:rsidRPr="009257B7">
        <w:rPr>
          <w:lang w:val="es-ES"/>
        </w:rPr>
        <w:t>·dia</w:t>
      </w:r>
      <w:r w:rsidR="005D6AD8" w:rsidRPr="009257B7">
        <w:rPr>
          <w:vertAlign w:val="superscript"/>
          <w:lang w:val="es-ES"/>
        </w:rPr>
        <w:t xml:space="preserve">-1 </w:t>
      </w:r>
      <w:r w:rsidR="005D6AD8" w:rsidRPr="009257B7">
        <w:rPr>
          <w:vertAlign w:val="superscript"/>
          <w:lang w:val="es-ES"/>
        </w:rPr>
        <w:fldChar w:fldCharType="begin" w:fldLock="1"/>
      </w:r>
      <w:r w:rsidR="005D6AD8" w:rsidRPr="009257B7">
        <w:rPr>
          <w:vertAlign w:val="superscript"/>
          <w:lang w:val="es-ES"/>
        </w:rPr>
        <w:instrText>ADDIN CSL_CITATION {"citationItems":[{"id":"ITEM-1","itemData":{"author":[{"dropping-particle":"","family":"IDA","given":"","non-dropping-particle":"","parse-names":false,"suffix":""}],"id":"ITEM-1","issued":{"date-parts":[["2019"]]},"title":"Yearbook 2018-2019, Water desalination report","type":"report"},"uris":["http://www.mendeley.com/documents/?uuid=c5b9295b-8f55-474a-aa57-241b810bb0bc"]}],"mendeley":{"formattedCitation":"(IDA, 2019)","plainTextFormattedCitation":"(IDA, 2019)","previouslyFormattedCitation":"(IDA, 2019)"},"properties":{"noteIndex":0},"schema":"https://github.com/citation-style-language/schema/raw/master/csl-citation.json"}</w:instrText>
      </w:r>
      <w:r w:rsidR="005D6AD8" w:rsidRPr="009257B7">
        <w:rPr>
          <w:vertAlign w:val="superscript"/>
          <w:lang w:val="es-ES"/>
        </w:rPr>
        <w:fldChar w:fldCharType="separate"/>
      </w:r>
      <w:r w:rsidR="005D6AD8" w:rsidRPr="009257B7">
        <w:rPr>
          <w:noProof/>
          <w:lang w:val="es-ES"/>
        </w:rPr>
        <w:t>(IDA, 2019)</w:t>
      </w:r>
      <w:r w:rsidR="005D6AD8" w:rsidRPr="009257B7">
        <w:rPr>
          <w:vertAlign w:val="superscript"/>
          <w:lang w:val="es-ES"/>
        </w:rPr>
        <w:fldChar w:fldCharType="end"/>
      </w:r>
      <w:r w:rsidR="005D6AD8" w:rsidRPr="009257B7">
        <w:rPr>
          <w:lang w:val="es-ES"/>
        </w:rPr>
        <w:t xml:space="preserve">. Sin embargo, las membranas de OI tienen un tiempo de vida útil de entre 5 y 7 años, al cabo </w:t>
      </w:r>
      <w:r w:rsidR="004A2EA6" w:rsidRPr="009257B7">
        <w:rPr>
          <w:lang w:val="es-ES"/>
        </w:rPr>
        <w:t>del cual,</w:t>
      </w:r>
      <w:r w:rsidR="005D6AD8" w:rsidRPr="009257B7">
        <w:rPr>
          <w:lang w:val="es-ES"/>
        </w:rPr>
        <w:t xml:space="preserve"> su rendimiento se deteriora y deben ser reemplazadas. Esto genera anualmente más de 14.000 </w:t>
      </w:r>
      <w:r w:rsidR="008A2B2E" w:rsidRPr="009257B7">
        <w:rPr>
          <w:lang w:val="es-ES"/>
        </w:rPr>
        <w:t>ton</w:t>
      </w:r>
      <w:r w:rsidR="008A2B2E">
        <w:rPr>
          <w:lang w:val="es-ES"/>
        </w:rPr>
        <w:t>eladas</w:t>
      </w:r>
      <w:r w:rsidR="008A2B2E" w:rsidRPr="009257B7">
        <w:rPr>
          <w:lang w:val="es-ES"/>
        </w:rPr>
        <w:t xml:space="preserve"> </w:t>
      </w:r>
      <w:r w:rsidR="005D6AD8" w:rsidRPr="009257B7">
        <w:rPr>
          <w:lang w:val="es-ES"/>
        </w:rPr>
        <w:t>de residuos plásticos que</w:t>
      </w:r>
      <w:r w:rsidR="008A2B2E">
        <w:rPr>
          <w:lang w:val="es-ES"/>
        </w:rPr>
        <w:t xml:space="preserve"> </w:t>
      </w:r>
      <w:r w:rsidR="005D6AD8" w:rsidRPr="009257B7">
        <w:rPr>
          <w:lang w:val="es-ES"/>
        </w:rPr>
        <w:t>son desechados en vertederos</w:t>
      </w:r>
      <w:r w:rsidR="005D728E">
        <w:rPr>
          <w:lang w:val="es-ES"/>
        </w:rPr>
        <w:t xml:space="preserve"> y que es previsible que vayan aumentando en los próximos años</w:t>
      </w:r>
      <w:r w:rsidR="005D6AD8" w:rsidRPr="009257B7">
        <w:rPr>
          <w:lang w:val="es-ES"/>
        </w:rPr>
        <w:t xml:space="preserve"> </w:t>
      </w:r>
      <w:r w:rsidR="005D6AD8" w:rsidRPr="009257B7">
        <w:fldChar w:fldCharType="begin" w:fldLock="1"/>
      </w:r>
      <w:r w:rsidR="00D0746C">
        <w:rPr>
          <w:lang w:val="es-ES"/>
        </w:rPr>
        <w:instrText>ADDIN CSL_CITATION {"citationItems":[{"id":"ITEM-1","itemData":{"DOI":"10.1016/j.desal.2016.04.002","ISBN":"0011-9164","ISSN":"00119164","abstract":"Reverse osmosis (RO) is the most employed technology for water desalination. Energy consumption and membrane fouling represent some of the major concerns in membrane technology because they increase the costs associated with treated water. Membrane lifespan is mainly correlated to the quality of the water and the operation condition and it is estimated that often membrane lifespan is 5 to 10 years. Remarkable advances have been made improving the reverse osmosis desalination by integrating pretreatment and cleaning processes. Attending to the membrane active layer, substantial research efforts have been conducted in preparing new antifouling RO membranes to i) enhance antifouling properties, ii) obtain high recovery flux and iii) have low energy requirements. However, scarce research has been detected in literature regarding end-of-life membrane management. This review summarizes the most representative research activities conducted to prevent membrane fouling. In addition, it highlights alternative routes to discarded end-of-life-membranes in order to prevent the uncontrolled disposal of fouled membranes in landfills. In this way, this review aims at summarizing research efforts found in literature in order to approach a more circular economy society, covering the whole life cycle of RO membranes: from the new development of antifouling membranes to the membrane waste management.","author":[{"dropping-particle":"","family":"Landaburu-Aguirre","given":"Junkal","non-dropping-particle":"","parse-names":false,"suffix":""},{"dropping-particle":"","family":"García-Pacheco","given":"Raquel","non-dropping-particle":"","parse-names":false,"suffix":""},{"dropping-particle":"","family":"Molina","given":"Serena","non-dropping-particle":"","parse-names":false,"suffix":""},{"dropping-particle":"","family":"Rodríguez-Sáez","given":"Laura","non-dropping-particle":"","parse-names":false,"suffix":""},{"dropping-particle":"","family":"Rabadán","given":"Javier","non-dropping-particle":"","parse-names":false,"suffix":""},{"dropping-particle":"","family":"García-Calvo","given":"Eloy","non-dropping-particle":"","parse-names":false,"suffix":""}],"container-title":"Desalination","id":"ITEM-1","issued":{"date-parts":[["2016"]]},"page":"16-30","publisher":"Elsevier B.V.","title":"Fouling prevention, preparing for re-use and membrane recycling. Towards circular economy in RO desalination","type":"article-journal","volume":"393"},"uris":["http://www.mendeley.com/documents/?uuid=fd1956b1-e83e-4a6f-bb1d-43a53d1cad9b"]}],"mendeley":{"formattedCitation":"(Landaburu-Aguirre et al., 2016)","plainTextFormattedCitation":"(Landaburu-Aguirre et al., 2016)","previouslyFormattedCitation":"(Landaburu-Aguirre et al., 2016)"},"properties":{"noteIndex":0},"schema":"https://github.com/citation-style-language/schema/raw/master/csl-citation.json"}</w:instrText>
      </w:r>
      <w:r w:rsidR="005D6AD8" w:rsidRPr="009257B7">
        <w:fldChar w:fldCharType="separate"/>
      </w:r>
      <w:r w:rsidR="00D0746C" w:rsidRPr="00D0746C">
        <w:rPr>
          <w:noProof/>
          <w:lang w:val="es-ES"/>
        </w:rPr>
        <w:t>(Landaburu-Aguirre et al., 2016)</w:t>
      </w:r>
      <w:r w:rsidR="005D6AD8" w:rsidRPr="009257B7">
        <w:fldChar w:fldCharType="end"/>
      </w:r>
      <w:r w:rsidR="005D6AD8" w:rsidRPr="009257B7">
        <w:rPr>
          <w:lang w:val="es-ES"/>
        </w:rPr>
        <w:t xml:space="preserve">. </w:t>
      </w:r>
    </w:p>
    <w:p w14:paraId="34D530F9" w14:textId="12105C5F" w:rsidR="00544E3F" w:rsidRPr="009257B7" w:rsidRDefault="00B22844" w:rsidP="009257B7">
      <w:pPr>
        <w:pStyle w:val="08text"/>
        <w:spacing w:before="120" w:line="312" w:lineRule="auto"/>
        <w:ind w:firstLine="720"/>
        <w:rPr>
          <w:lang w:val="es-ES"/>
        </w:rPr>
      </w:pPr>
      <w:r w:rsidRPr="009257B7">
        <w:rPr>
          <w:lang w:val="es-ES"/>
        </w:rPr>
        <w:t xml:space="preserve">En un intento de aumentar la sostenibilidad de los procesos de desalación, </w:t>
      </w:r>
      <w:r w:rsidR="003B6EDA">
        <w:rPr>
          <w:lang w:val="es-ES"/>
        </w:rPr>
        <w:t>recientemente</w:t>
      </w:r>
      <w:r w:rsidR="003B6EDA" w:rsidRPr="009257B7">
        <w:rPr>
          <w:lang w:val="es-ES"/>
        </w:rPr>
        <w:t xml:space="preserve"> </w:t>
      </w:r>
      <w:r w:rsidR="00544E3F" w:rsidRPr="009257B7">
        <w:rPr>
          <w:lang w:val="es-ES"/>
        </w:rPr>
        <w:t>se han estudiado</w:t>
      </w:r>
      <w:r w:rsidR="00532F6F">
        <w:rPr>
          <w:lang w:val="es-ES"/>
        </w:rPr>
        <w:t xml:space="preserve"> </w:t>
      </w:r>
      <w:r w:rsidR="00544E3F" w:rsidRPr="009257B7">
        <w:rPr>
          <w:lang w:val="es-ES"/>
        </w:rPr>
        <w:t xml:space="preserve">diferentes alternativas para la gestión de este </w:t>
      </w:r>
      <w:r w:rsidRPr="009257B7">
        <w:rPr>
          <w:lang w:val="es-ES"/>
        </w:rPr>
        <w:t>residuo</w:t>
      </w:r>
      <w:r w:rsidR="0007770A">
        <w:rPr>
          <w:lang w:val="es-ES"/>
        </w:rPr>
        <w:t>: i) la</w:t>
      </w:r>
      <w:r w:rsidR="00B61862">
        <w:rPr>
          <w:lang w:val="es-ES"/>
        </w:rPr>
        <w:t xml:space="preserve"> reutilización</w:t>
      </w:r>
      <w:r w:rsidR="0007770A">
        <w:rPr>
          <w:lang w:val="es-ES"/>
        </w:rPr>
        <w:t xml:space="preserve"> directa, mediante limpieza química</w:t>
      </w:r>
      <w:r w:rsidR="00416909">
        <w:rPr>
          <w:lang w:val="es-ES"/>
        </w:rPr>
        <w:t>,</w:t>
      </w:r>
      <w:r w:rsidR="0007770A">
        <w:rPr>
          <w:lang w:val="es-ES"/>
        </w:rPr>
        <w:t xml:space="preserve"> en procesos de OI; </w:t>
      </w:r>
      <w:proofErr w:type="spellStart"/>
      <w:r w:rsidR="0007770A">
        <w:rPr>
          <w:lang w:val="es-ES"/>
        </w:rPr>
        <w:t>ii</w:t>
      </w:r>
      <w:proofErr w:type="spellEnd"/>
      <w:r w:rsidR="0007770A">
        <w:rPr>
          <w:lang w:val="es-ES"/>
        </w:rPr>
        <w:t>)</w:t>
      </w:r>
      <w:r w:rsidR="00B61862">
        <w:rPr>
          <w:lang w:val="es-ES"/>
        </w:rPr>
        <w:t xml:space="preserve"> el reciclaje directo</w:t>
      </w:r>
      <w:r w:rsidR="0007770A">
        <w:rPr>
          <w:lang w:val="es-ES"/>
        </w:rPr>
        <w:t>, mediante conversión química oxidativa</w:t>
      </w:r>
      <w:r w:rsidR="00416909">
        <w:rPr>
          <w:lang w:val="es-ES"/>
        </w:rPr>
        <w:t>,</w:t>
      </w:r>
      <w:r w:rsidR="0007770A">
        <w:rPr>
          <w:lang w:val="es-ES"/>
        </w:rPr>
        <w:t xml:space="preserve"> a membranas de </w:t>
      </w:r>
      <w:r w:rsidR="006D34E0">
        <w:rPr>
          <w:lang w:val="es-ES"/>
        </w:rPr>
        <w:t>nanofiltración</w:t>
      </w:r>
      <w:r w:rsidR="0007770A">
        <w:rPr>
          <w:lang w:val="es-ES"/>
        </w:rPr>
        <w:t xml:space="preserve"> (NF) y </w:t>
      </w:r>
      <w:r w:rsidR="006D34E0">
        <w:rPr>
          <w:lang w:val="es-ES"/>
        </w:rPr>
        <w:t>ultrafiltración</w:t>
      </w:r>
      <w:r w:rsidR="0007770A">
        <w:rPr>
          <w:lang w:val="es-ES"/>
        </w:rPr>
        <w:t xml:space="preserve"> (UF); </w:t>
      </w:r>
      <w:proofErr w:type="spellStart"/>
      <w:r w:rsidR="0007770A">
        <w:rPr>
          <w:lang w:val="es-ES"/>
        </w:rPr>
        <w:t>iii</w:t>
      </w:r>
      <w:proofErr w:type="spellEnd"/>
      <w:r w:rsidR="0007770A">
        <w:rPr>
          <w:lang w:val="es-ES"/>
        </w:rPr>
        <w:t xml:space="preserve">) </w:t>
      </w:r>
      <w:r w:rsidR="00B61862">
        <w:rPr>
          <w:lang w:val="es-ES"/>
        </w:rPr>
        <w:t>e</w:t>
      </w:r>
      <w:r w:rsidR="0007770A">
        <w:rPr>
          <w:lang w:val="es-ES"/>
        </w:rPr>
        <w:t>l reciclaje</w:t>
      </w:r>
      <w:r w:rsidR="00B61862">
        <w:rPr>
          <w:lang w:val="es-ES"/>
        </w:rPr>
        <w:t xml:space="preserve"> indirecto</w:t>
      </w:r>
      <w:r w:rsidR="0007770A">
        <w:rPr>
          <w:lang w:val="es-ES"/>
        </w:rPr>
        <w:t xml:space="preserve">, mediante apertura del </w:t>
      </w:r>
      <w:r w:rsidR="006D34E0">
        <w:rPr>
          <w:lang w:val="es-ES"/>
        </w:rPr>
        <w:t>módulo</w:t>
      </w:r>
      <w:r w:rsidR="0007770A">
        <w:rPr>
          <w:lang w:val="es-ES"/>
        </w:rPr>
        <w:t xml:space="preserve"> de OI y extracción de sus componentes para una gestión individualizada; y </w:t>
      </w:r>
      <w:proofErr w:type="spellStart"/>
      <w:r w:rsidR="0007770A">
        <w:rPr>
          <w:lang w:val="es-ES"/>
        </w:rPr>
        <w:t>iv</w:t>
      </w:r>
      <w:proofErr w:type="spellEnd"/>
      <w:r w:rsidR="0007770A">
        <w:rPr>
          <w:lang w:val="es-ES"/>
        </w:rPr>
        <w:t>)</w:t>
      </w:r>
      <w:r w:rsidR="00B61862">
        <w:rPr>
          <w:lang w:val="es-ES"/>
        </w:rPr>
        <w:t xml:space="preserve"> </w:t>
      </w:r>
      <w:r w:rsidRPr="009257B7">
        <w:rPr>
          <w:lang w:val="es-ES"/>
        </w:rPr>
        <w:t>la conversión energética mediante incineración o pirolisis, entre otr</w:t>
      </w:r>
      <w:r w:rsidR="0021059B" w:rsidRPr="009257B7">
        <w:rPr>
          <w:lang w:val="es-ES"/>
        </w:rPr>
        <w:t>a</w:t>
      </w:r>
      <w:r w:rsidRPr="009257B7">
        <w:rPr>
          <w:lang w:val="es-ES"/>
        </w:rPr>
        <w:t>s</w:t>
      </w:r>
      <w:r w:rsidR="0021059B" w:rsidRPr="009257B7">
        <w:rPr>
          <w:lang w:val="es-ES"/>
        </w:rPr>
        <w:t xml:space="preserve"> técnicas</w:t>
      </w:r>
      <w:r w:rsidRPr="009257B7">
        <w:rPr>
          <w:lang w:val="es-ES"/>
        </w:rPr>
        <w:t xml:space="preserve"> </w:t>
      </w:r>
      <w:r w:rsidR="0085381C">
        <w:rPr>
          <w:lang w:val="es-ES"/>
        </w:rPr>
        <w:fldChar w:fldCharType="begin" w:fldLock="1"/>
      </w:r>
      <w:r w:rsidR="0085381C">
        <w:rPr>
          <w:lang w:val="es-ES"/>
        </w:rPr>
        <w:instrText>ADDIN CSL_CITATION {"citationItems":[{"id":"ITEM-1","itemData":{"DOI":"10.1016/j.desal.2016.04.002","ISBN":"0011-9164","ISSN":"00119164","abstract":"Reverse osmosis (RO) is the most employed technology for water desalination. Energy consumption and membrane fouling represent some of the major concerns in membrane technology because they increase the costs associated with treated water. Membrane lifespan is mainly correlated to the quality of the water and the operation condition and it is estimated that often membrane lifespan is 5 to 10 years. Remarkable advances have been made improving the reverse osmosis desalination by integrating pretreatment and cleaning processes. Attending to the membrane active layer, substantial research efforts have been conducted in preparing new antifouling RO membranes to i) enhance antifouling properties, ii) obtain high recovery flux and iii) have low energy requirements. However, scarce research has been detected in literature regarding end-of-life membrane management. This review summarizes the most representative research activities conducted to prevent membrane fouling. In addition, it highlights alternative routes to discarded end-of-life-membranes in order to prevent the uncontrolled disposal of fouled membranes in landfills. In this way, this review aims at summarizing research efforts found in literature in order to approach a more circular economy society, covering the whole life cycle of RO membranes: from the new development of antifouling membranes to the membrane waste management.","author":[{"dropping-particle":"","family":"Landaburu-Aguirre","given":"Junkal","non-dropping-particle":"","parse-names":false,"suffix":""},{"dropping-particle":"","family":"García-Pacheco","given":"Raquel","non-dropping-particle":"","parse-names":false,"suffix":""},{"dropping-particle":"","family":"Molina","given":"Serena","non-dropping-particle":"","parse-names":false,"suffix":""},{"dropping-particle":"","family":"Rodríguez-Sáez","given":"Laura","non-dropping-particle":"","parse-names":false,"suffix":""},{"dropping-particle":"","family":"Rabadán","given":"Javier","non-dropping-particle":"","parse-names":false,"suffix":""},{"dropping-particle":"","family":"García-Calvo","given":"Eloy","non-dropping-particle":"","parse-names":false,"suffix":""}],"container-title":"Desalination","id":"ITEM-1","issued":{"date-parts":[["2016"]]},"page":"16-30","publisher":"Elsevier B.V.","title":"Fouling prevention, preparing for re-use and membrane recycling. Towards circular economy in RO desalination","type":"article-journal","volume":"393"},"uris":["http://www.mendeley.com/documents/?uuid=fd1956b1-e83e-4a6f-bb1d-43a53d1cad9b"]}],"mendeley":{"formattedCitation":"(Landaburu-Aguirre et al., 2016)","plainTextFormattedCitation":"(Landaburu-Aguirre et al., 2016)","previouslyFormattedCitation":"(Landaburu-Aguirre et al., 2016)"},"properties":{"noteIndex":0},"schema":"https://github.com/citation-style-language/schema/raw/master/csl-citation.json"}</w:instrText>
      </w:r>
      <w:r w:rsidR="0085381C">
        <w:rPr>
          <w:lang w:val="es-ES"/>
        </w:rPr>
        <w:fldChar w:fldCharType="separate"/>
      </w:r>
      <w:r w:rsidR="0085381C" w:rsidRPr="0085381C">
        <w:rPr>
          <w:noProof/>
          <w:lang w:val="es-ES"/>
        </w:rPr>
        <w:t>(Landaburu-Aguirre et al., 2016)</w:t>
      </w:r>
      <w:r w:rsidR="0085381C">
        <w:rPr>
          <w:lang w:val="es-ES"/>
        </w:rPr>
        <w:fldChar w:fldCharType="end"/>
      </w:r>
      <w:r w:rsidR="0085381C">
        <w:rPr>
          <w:lang w:val="es-ES"/>
        </w:rPr>
        <w:t>.</w:t>
      </w:r>
    </w:p>
    <w:p w14:paraId="4FEAB32C" w14:textId="2AB7AA28" w:rsidR="001205C0" w:rsidRPr="009257B7" w:rsidRDefault="002D189B" w:rsidP="009257B7">
      <w:pPr>
        <w:pStyle w:val="08text"/>
        <w:spacing w:before="120" w:line="312" w:lineRule="auto"/>
        <w:ind w:firstLine="720"/>
        <w:rPr>
          <w:lang w:val="es-ES"/>
        </w:rPr>
      </w:pPr>
      <w:r w:rsidRPr="009257B7">
        <w:rPr>
          <w:lang w:val="es-ES"/>
        </w:rPr>
        <w:t xml:space="preserve">Este trabajo muestra un ejemplo de reciclaje indirecto de diferentes componentes de un módulo de OI </w:t>
      </w:r>
      <w:r w:rsidR="004A2EA6" w:rsidRPr="009257B7">
        <w:rPr>
          <w:lang w:val="es-ES"/>
        </w:rPr>
        <w:t>desechado</w:t>
      </w:r>
      <w:r w:rsidRPr="009257B7">
        <w:rPr>
          <w:lang w:val="es-ES"/>
        </w:rPr>
        <w:t xml:space="preserve">, mediante su utilización </w:t>
      </w:r>
      <w:r w:rsidR="003B6EDA">
        <w:rPr>
          <w:lang w:val="es-ES"/>
        </w:rPr>
        <w:t xml:space="preserve">como soporte </w:t>
      </w:r>
      <w:r w:rsidRPr="009257B7">
        <w:rPr>
          <w:lang w:val="es-ES"/>
        </w:rPr>
        <w:t xml:space="preserve">en la preparación de membranas de intercambio </w:t>
      </w:r>
      <w:r w:rsidR="000D380C">
        <w:rPr>
          <w:lang w:val="es-ES"/>
        </w:rPr>
        <w:t>an</w:t>
      </w:r>
      <w:r w:rsidRPr="009257B7">
        <w:rPr>
          <w:lang w:val="es-ES"/>
        </w:rPr>
        <w:t xml:space="preserve">iónico. </w:t>
      </w:r>
      <w:r w:rsidR="001205C0" w:rsidRPr="009257B7">
        <w:rPr>
          <w:lang w:val="es-ES"/>
        </w:rPr>
        <w:t xml:space="preserve">Las membranas de intercambio iónico </w:t>
      </w:r>
      <w:r w:rsidR="00C36647">
        <w:rPr>
          <w:lang w:val="es-ES"/>
        </w:rPr>
        <w:t xml:space="preserve">se caracterizan por tener grupos funcionales cargados anclados, de forma que </w:t>
      </w:r>
      <w:r w:rsidR="001205C0" w:rsidRPr="009257B7">
        <w:rPr>
          <w:lang w:val="es-ES"/>
        </w:rPr>
        <w:t>son capaces de separar iones de una disolución mediante la aplicación de un campo eléctrico.</w:t>
      </w:r>
      <w:r w:rsidR="00C36647">
        <w:rPr>
          <w:lang w:val="es-ES"/>
        </w:rPr>
        <w:t xml:space="preserve"> De esta forma se distinguen, las membranas de intercambio aniónico, con cargas positivas ancladas y las membranas de intercambio catiónico, con cargas negativas ancladas. </w:t>
      </w:r>
    </w:p>
    <w:p w14:paraId="6EA285A8" w14:textId="006A23C3" w:rsidR="00B22844" w:rsidRPr="006D34E0" w:rsidRDefault="002E0502" w:rsidP="006D34E0">
      <w:pPr>
        <w:pStyle w:val="08text"/>
        <w:spacing w:before="120" w:line="312" w:lineRule="auto"/>
        <w:ind w:firstLine="720"/>
        <w:rPr>
          <w:lang w:val="es-ES"/>
        </w:rPr>
      </w:pPr>
      <w:r w:rsidRPr="009257B7">
        <w:rPr>
          <w:lang w:val="es-ES"/>
        </w:rPr>
        <w:lastRenderedPageBreak/>
        <w:t>E</w:t>
      </w:r>
      <w:r w:rsidR="001205C0" w:rsidRPr="009257B7">
        <w:rPr>
          <w:lang w:val="es-ES"/>
        </w:rPr>
        <w:t>l objetivo de</w:t>
      </w:r>
      <w:r w:rsidRPr="009257B7">
        <w:rPr>
          <w:lang w:val="es-ES"/>
        </w:rPr>
        <w:t xml:space="preserve"> este </w:t>
      </w:r>
      <w:r w:rsidR="000D380C">
        <w:rPr>
          <w:lang w:val="es-ES"/>
        </w:rPr>
        <w:t xml:space="preserve">trabajo </w:t>
      </w:r>
      <w:r w:rsidR="00B23E37">
        <w:rPr>
          <w:lang w:val="es-ES"/>
        </w:rPr>
        <w:t>preliminar</w:t>
      </w:r>
      <w:r w:rsidR="000D380C">
        <w:rPr>
          <w:lang w:val="es-ES"/>
        </w:rPr>
        <w:t xml:space="preserve"> es estudiar </w:t>
      </w:r>
      <w:r w:rsidR="000D380C" w:rsidRPr="000D380C">
        <w:rPr>
          <w:lang w:val="es-ES"/>
        </w:rPr>
        <w:t xml:space="preserve">la posibilidad de utilizar diferentes componentes alternativos reciclados de un módulo de </w:t>
      </w:r>
      <w:r w:rsidR="000D380C">
        <w:rPr>
          <w:lang w:val="es-ES"/>
        </w:rPr>
        <w:t>OI</w:t>
      </w:r>
      <w:r w:rsidR="000D380C" w:rsidRPr="000D380C">
        <w:rPr>
          <w:lang w:val="es-ES"/>
        </w:rPr>
        <w:t xml:space="preserve"> desechad</w:t>
      </w:r>
      <w:r w:rsidR="000D380C">
        <w:rPr>
          <w:lang w:val="es-ES"/>
        </w:rPr>
        <w:t>o</w:t>
      </w:r>
      <w:r w:rsidR="000D380C" w:rsidRPr="000D380C">
        <w:rPr>
          <w:lang w:val="es-ES"/>
        </w:rPr>
        <w:t xml:space="preserve"> para la preparación de membranas </w:t>
      </w:r>
      <w:r w:rsidR="000D380C">
        <w:rPr>
          <w:lang w:val="es-ES"/>
        </w:rPr>
        <w:t xml:space="preserve">de intercambio aniónico. </w:t>
      </w:r>
      <w:r w:rsidR="00B1279B">
        <w:rPr>
          <w:lang w:val="es-ES"/>
        </w:rPr>
        <w:t>L</w:t>
      </w:r>
      <w:r w:rsidR="00B1279B" w:rsidRPr="009257B7">
        <w:rPr>
          <w:lang w:val="es-ES"/>
        </w:rPr>
        <w:t xml:space="preserve">as membranas resultantes podrían utilizarse en procesos de desalación, separación selectiva de iones o biorreactores de membranas de intercambio iónico, entre otros. </w:t>
      </w:r>
    </w:p>
    <w:p w14:paraId="0485FEF8" w14:textId="4A2CB1B1" w:rsidR="00EB4D17" w:rsidRDefault="00B83D0E">
      <w:pPr>
        <w:pStyle w:val="08text"/>
        <w:spacing w:before="360" w:after="240" w:line="312" w:lineRule="auto"/>
        <w:rPr>
          <w:b/>
          <w:bCs/>
          <w:sz w:val="28"/>
          <w:szCs w:val="28"/>
          <w:lang w:val="es-ES"/>
        </w:rPr>
      </w:pPr>
      <w:r>
        <w:rPr>
          <w:b/>
          <w:bCs/>
          <w:sz w:val="28"/>
          <w:szCs w:val="28"/>
          <w:lang w:val="es-ES"/>
        </w:rPr>
        <w:t>2.- Metodología</w:t>
      </w:r>
    </w:p>
    <w:p w14:paraId="2D9B8CAB" w14:textId="7344AA94" w:rsidR="001B3EA2" w:rsidRPr="00BC3FD8" w:rsidRDefault="00D62D8B" w:rsidP="493B35FF">
      <w:pPr>
        <w:spacing w:line="312" w:lineRule="auto"/>
        <w:jc w:val="both"/>
        <w:rPr>
          <w:b/>
          <w:bCs/>
        </w:rPr>
      </w:pPr>
      <w:r w:rsidRPr="493B35FF">
        <w:rPr>
          <w:b/>
          <w:bCs/>
        </w:rPr>
        <w:t>2.1.</w:t>
      </w:r>
      <w:r>
        <w:t xml:space="preserve"> </w:t>
      </w:r>
      <w:r w:rsidR="001B3EA2" w:rsidRPr="493B35FF">
        <w:rPr>
          <w:b/>
          <w:bCs/>
        </w:rPr>
        <w:t>Membranas y reactivos químicos</w:t>
      </w:r>
    </w:p>
    <w:p w14:paraId="7C0FE22C" w14:textId="5043054B" w:rsidR="001B3EA2" w:rsidRPr="00964D54" w:rsidRDefault="00F41890" w:rsidP="009257B7">
      <w:pPr>
        <w:spacing w:before="120" w:line="312" w:lineRule="auto"/>
        <w:ind w:firstLine="720"/>
        <w:jc w:val="both"/>
      </w:pPr>
      <w:r w:rsidRPr="00964D54">
        <w:t xml:space="preserve">Como soporte mecánico en la preparación de las membranas de intercambio </w:t>
      </w:r>
      <w:r w:rsidR="00BD55FD">
        <w:t>an</w:t>
      </w:r>
      <w:r w:rsidRPr="00964D54">
        <w:t xml:space="preserve">iónico, </w:t>
      </w:r>
      <w:r w:rsidR="001B3EA2" w:rsidRPr="00964D54">
        <w:t>se ha</w:t>
      </w:r>
      <w:r w:rsidR="00A030A4">
        <w:t>n</w:t>
      </w:r>
      <w:r w:rsidR="001B3EA2" w:rsidRPr="00964D54">
        <w:t xml:space="preserve"> utilizado</w:t>
      </w:r>
      <w:r w:rsidR="00A030A4">
        <w:t xml:space="preserve"> cupones de membrana extraídos de</w:t>
      </w:r>
      <w:r w:rsidR="001B3EA2" w:rsidRPr="00964D54">
        <w:t xml:space="preserve"> un módulo </w:t>
      </w:r>
      <w:r w:rsidRPr="00964D54">
        <w:t>de enrollamiento en espiral de OI, TM 720-400 (</w:t>
      </w:r>
      <w:proofErr w:type="spellStart"/>
      <w:r w:rsidRPr="00964D54">
        <w:t>Toray</w:t>
      </w:r>
      <w:proofErr w:type="spellEnd"/>
      <w:r w:rsidRPr="00964D54">
        <w:t xml:space="preserve"> Industries, Inc.)</w:t>
      </w:r>
      <w:r w:rsidR="001B3EA2" w:rsidRPr="00964D54">
        <w:t xml:space="preserve">, que ha sido desechado por una planta desaladora de agua salobre al final de su vida útil. </w:t>
      </w:r>
      <w:r w:rsidRPr="00964D54">
        <w:t>Como membrana de intercambio aniónico comercial de referencia</w:t>
      </w:r>
      <w:r w:rsidR="005C2430" w:rsidRPr="00964D54">
        <w:t>,</w:t>
      </w:r>
      <w:r w:rsidRPr="00964D54">
        <w:t xml:space="preserve"> se ha utilizado </w:t>
      </w:r>
      <w:proofErr w:type="spellStart"/>
      <w:r w:rsidRPr="00964D54">
        <w:t>Ralex</w:t>
      </w:r>
      <w:proofErr w:type="spellEnd"/>
      <w:r w:rsidRPr="00964D54">
        <w:t xml:space="preserve">® AMH-PES, de Mega </w:t>
      </w:r>
      <w:proofErr w:type="spellStart"/>
      <w:r w:rsidRPr="00964D54">
        <w:t>a.s</w:t>
      </w:r>
      <w:r w:rsidR="00964D54">
        <w:t>.</w:t>
      </w:r>
      <w:proofErr w:type="spellEnd"/>
    </w:p>
    <w:p w14:paraId="16E2FCD4" w14:textId="1122EABB" w:rsidR="00F933E6" w:rsidRDefault="001C445B" w:rsidP="00F933E6">
      <w:pPr>
        <w:spacing w:before="120" w:line="312" w:lineRule="auto"/>
        <w:ind w:firstLine="720"/>
        <w:jc w:val="both"/>
        <w:rPr>
          <w:lang w:val="es-ES_tradnl"/>
        </w:rPr>
      </w:pPr>
      <w:r w:rsidRPr="009257B7">
        <w:t>Como reactivos químicos se han utilizado:</w:t>
      </w:r>
      <w:r w:rsidR="00F41890" w:rsidRPr="009257B7">
        <w:t xml:space="preserve"> </w:t>
      </w:r>
      <w:r w:rsidRPr="009257B7">
        <w:t>h</w:t>
      </w:r>
      <w:r w:rsidR="001B3EA2" w:rsidRPr="009257B7">
        <w:t xml:space="preserve">ipoclorito de sodio (NaClO, 14%), </w:t>
      </w:r>
      <w:r w:rsidR="00F41890" w:rsidRPr="009257B7">
        <w:t>tetrahidrofurano</w:t>
      </w:r>
      <w:r w:rsidR="001B3EA2" w:rsidRPr="009257B7">
        <w:t xml:space="preserve"> (THF) y cloruro de sodio (NaCl), de </w:t>
      </w:r>
      <w:proofErr w:type="spellStart"/>
      <w:r w:rsidR="001B3EA2" w:rsidRPr="009257B7">
        <w:t>Scharlab</w:t>
      </w:r>
      <w:proofErr w:type="spellEnd"/>
      <w:r w:rsidR="001B3EA2" w:rsidRPr="009257B7">
        <w:t xml:space="preserve"> S.L. Policloruro de vinilo (PVC, </w:t>
      </w:r>
      <w:proofErr w:type="spellStart"/>
      <w:r w:rsidR="001B3EA2" w:rsidRPr="009257B7">
        <w:t>Mw</w:t>
      </w:r>
      <w:proofErr w:type="spellEnd"/>
      <w:r w:rsidR="001B3EA2" w:rsidRPr="009257B7">
        <w:t xml:space="preserve"> = 112.000 g·mol</w:t>
      </w:r>
      <w:r w:rsidR="001B3EA2" w:rsidRPr="009257B7">
        <w:rPr>
          <w:vertAlign w:val="superscript"/>
        </w:rPr>
        <w:t>-1</w:t>
      </w:r>
      <w:r w:rsidR="001B3EA2" w:rsidRPr="009257B7">
        <w:t>), de ATOCHEM S.A.</w:t>
      </w:r>
      <w:r w:rsidR="00964D54">
        <w:t xml:space="preserve"> </w:t>
      </w:r>
      <w:r w:rsidR="00F41890" w:rsidRPr="009257B7">
        <w:t xml:space="preserve">La resina de intercambio aniónico </w:t>
      </w:r>
      <w:proofErr w:type="spellStart"/>
      <w:r w:rsidR="001B3EA2" w:rsidRPr="009257B7">
        <w:t>Amberlite</w:t>
      </w:r>
      <w:proofErr w:type="spellEnd"/>
      <w:r w:rsidR="001B3EA2" w:rsidRPr="009257B7">
        <w:t>® IRA-402</w:t>
      </w:r>
      <w:r w:rsidR="00F41890" w:rsidRPr="009257B7">
        <w:t>, de</w:t>
      </w:r>
      <w:r w:rsidR="001B3EA2" w:rsidRPr="009257B7">
        <w:t xml:space="preserve"> Merck </w:t>
      </w:r>
      <w:proofErr w:type="spellStart"/>
      <w:r w:rsidR="001B3EA2" w:rsidRPr="009257B7">
        <w:t>KGaA</w:t>
      </w:r>
      <w:proofErr w:type="spellEnd"/>
      <w:r w:rsidR="001B3EA2" w:rsidRPr="009257B7">
        <w:t>,</w:t>
      </w:r>
      <w:r w:rsidR="00964D54">
        <w:t xml:space="preserve"> </w:t>
      </w:r>
      <w:r w:rsidR="00F41890" w:rsidRPr="009257B7">
        <w:rPr>
          <w:lang w:val="es-ES_tradnl"/>
        </w:rPr>
        <w:t xml:space="preserve">En los experimentos se </w:t>
      </w:r>
      <w:r w:rsidRPr="009257B7">
        <w:rPr>
          <w:lang w:val="es-ES_tradnl"/>
        </w:rPr>
        <w:t>ha utilizado</w:t>
      </w:r>
      <w:r w:rsidR="00F41890" w:rsidRPr="009257B7">
        <w:rPr>
          <w:lang w:val="es-ES_tradnl"/>
        </w:rPr>
        <w:t xml:space="preserve"> agua </w:t>
      </w:r>
      <w:proofErr w:type="spellStart"/>
      <w:r w:rsidR="00F41890" w:rsidRPr="009257B7">
        <w:rPr>
          <w:lang w:val="es-ES_tradnl"/>
        </w:rPr>
        <w:t>MiliQ</w:t>
      </w:r>
      <w:proofErr w:type="spellEnd"/>
      <w:r w:rsidR="00F41890" w:rsidRPr="009257B7">
        <w:rPr>
          <w:lang w:val="es-ES_tradnl"/>
        </w:rPr>
        <w:t>.</w:t>
      </w:r>
    </w:p>
    <w:p w14:paraId="3B677A77" w14:textId="77777777" w:rsidR="00F933E6" w:rsidRDefault="001B3EA2" w:rsidP="493B35FF">
      <w:pPr>
        <w:spacing w:line="312" w:lineRule="auto"/>
        <w:jc w:val="both"/>
        <w:rPr>
          <w:b/>
          <w:bCs/>
        </w:rPr>
      </w:pPr>
      <w:r w:rsidRPr="493B35FF">
        <w:rPr>
          <w:b/>
          <w:bCs/>
        </w:rPr>
        <w:t>2.2.</w:t>
      </w:r>
      <w:r>
        <w:t xml:space="preserve"> </w:t>
      </w:r>
      <w:r w:rsidR="00D62D8B" w:rsidRPr="493B35FF">
        <w:rPr>
          <w:b/>
          <w:bCs/>
        </w:rPr>
        <w:t xml:space="preserve">Extracción de los componentes del </w:t>
      </w:r>
      <w:r w:rsidR="00352BB5" w:rsidRPr="493B35FF">
        <w:rPr>
          <w:b/>
          <w:bCs/>
        </w:rPr>
        <w:t>módulo</w:t>
      </w:r>
      <w:r w:rsidR="00D62D8B" w:rsidRPr="493B35FF">
        <w:rPr>
          <w:b/>
          <w:bCs/>
        </w:rPr>
        <w:t xml:space="preserve"> de OI desechado</w:t>
      </w:r>
    </w:p>
    <w:p w14:paraId="7026575C" w14:textId="454AD51A" w:rsidR="00B14E15" w:rsidRPr="00F933E6" w:rsidRDefault="00195E4E" w:rsidP="00F933E6">
      <w:pPr>
        <w:spacing w:before="120" w:line="312" w:lineRule="auto"/>
        <w:ind w:firstLine="720"/>
        <w:jc w:val="both"/>
        <w:rPr>
          <w:b/>
          <w:bCs/>
        </w:rPr>
      </w:pPr>
      <w:r w:rsidRPr="009257B7">
        <w:t xml:space="preserve">Para extraer los componentes del módulo de OI desechado es necesario abrir el módulo mediante autopsia de </w:t>
      </w:r>
      <w:r w:rsidRPr="005D7804">
        <w:t xml:space="preserve">membrana (Figura </w:t>
      </w:r>
      <w:r w:rsidR="00416909" w:rsidRPr="005D7804">
        <w:t>1</w:t>
      </w:r>
      <w:r w:rsidRPr="005D7804">
        <w:t xml:space="preserve">a). Posteriormente, se extraen los componentes que podrían ser adecuados </w:t>
      </w:r>
      <w:r w:rsidR="00E11B07" w:rsidRPr="005D7804">
        <w:t>para la preparación de membranas:</w:t>
      </w:r>
      <w:r w:rsidR="00EE3703" w:rsidRPr="005D7804">
        <w:t xml:space="preserve"> las membranas de OI </w:t>
      </w:r>
      <w:r w:rsidRPr="005D7804">
        <w:t xml:space="preserve">(Figura </w:t>
      </w:r>
      <w:r w:rsidR="00416909" w:rsidRPr="005D7804">
        <w:t>1</w:t>
      </w:r>
      <w:r w:rsidRPr="005D7804">
        <w:t xml:space="preserve">b) </w:t>
      </w:r>
      <w:r w:rsidR="00EE3703" w:rsidRPr="005D7804">
        <w:t>y los espaciadores del permeado</w:t>
      </w:r>
      <w:r w:rsidR="00E74BEA" w:rsidRPr="005D7804">
        <w:t xml:space="preserve"> (Figura </w:t>
      </w:r>
      <w:r w:rsidR="00416909" w:rsidRPr="005D7804">
        <w:t>1</w:t>
      </w:r>
      <w:r w:rsidR="00E74BEA" w:rsidRPr="005D7804">
        <w:t>c)</w:t>
      </w:r>
      <w:r w:rsidR="005C2430" w:rsidRPr="005D7804">
        <w:t>.</w:t>
      </w:r>
      <w:r w:rsidR="00E11B07" w:rsidRPr="009257B7">
        <w:t xml:space="preserve"> </w:t>
      </w:r>
    </w:p>
    <w:p w14:paraId="0B218597" w14:textId="665A5006" w:rsidR="00B14E15" w:rsidRDefault="007D5434" w:rsidP="00F60525">
      <w:pPr>
        <w:pStyle w:val="08text"/>
        <w:keepNext/>
        <w:keepLines/>
        <w:spacing w:line="240" w:lineRule="auto"/>
        <w:ind w:firstLine="454"/>
        <w:jc w:val="center"/>
        <w:rPr>
          <w:rFonts w:cs="FreeSans"/>
          <w:b/>
          <w:bCs/>
          <w:sz w:val="20"/>
          <w:szCs w:val="20"/>
          <w:highlight w:val="yellow"/>
          <w:lang w:val="es-ES"/>
        </w:rPr>
      </w:pPr>
      <w:r>
        <w:rPr>
          <w:noProof/>
        </w:rPr>
        <w:lastRenderedPageBreak/>
        <w:drawing>
          <wp:inline distT="0" distB="0" distL="0" distR="0" wp14:anchorId="035CAA67" wp14:editId="493B35FF">
            <wp:extent cx="4719584" cy="1704762"/>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0">
                      <a:extLst>
                        <a:ext uri="{28A0092B-C50C-407E-A947-70E740481C1C}">
                          <a14:useLocalDpi xmlns:a14="http://schemas.microsoft.com/office/drawing/2010/main" val="0"/>
                        </a:ext>
                      </a:extLst>
                    </a:blip>
                    <a:stretch>
                      <a:fillRect/>
                    </a:stretch>
                  </pic:blipFill>
                  <pic:spPr>
                    <a:xfrm>
                      <a:off x="0" y="0"/>
                      <a:ext cx="4719584" cy="1704762"/>
                    </a:xfrm>
                    <a:prstGeom prst="rect">
                      <a:avLst/>
                    </a:prstGeom>
                  </pic:spPr>
                </pic:pic>
              </a:graphicData>
            </a:graphic>
          </wp:inline>
        </w:drawing>
      </w:r>
    </w:p>
    <w:p w14:paraId="5B146F18" w14:textId="78740BAF" w:rsidR="00F60525" w:rsidRDefault="00F60525" w:rsidP="493B35FF">
      <w:pPr>
        <w:pStyle w:val="08text"/>
        <w:keepNext/>
        <w:keepLines/>
        <w:spacing w:line="312" w:lineRule="auto"/>
        <w:rPr>
          <w:rFonts w:cs="FreeSans"/>
          <w:sz w:val="20"/>
          <w:szCs w:val="20"/>
          <w:lang w:val="es-ES"/>
        </w:rPr>
      </w:pPr>
      <w:r w:rsidRPr="493B35FF">
        <w:rPr>
          <w:rFonts w:cs="FreeSans"/>
          <w:b/>
          <w:bCs/>
          <w:sz w:val="20"/>
          <w:szCs w:val="20"/>
          <w:lang w:val="es-ES"/>
        </w:rPr>
        <w:t xml:space="preserve">Figura </w:t>
      </w:r>
      <w:r w:rsidR="00416909" w:rsidRPr="493B35FF">
        <w:rPr>
          <w:rFonts w:cs="FreeSans"/>
          <w:b/>
          <w:bCs/>
          <w:sz w:val="20"/>
          <w:szCs w:val="20"/>
          <w:lang w:val="es-ES"/>
        </w:rPr>
        <w:t>1</w:t>
      </w:r>
      <w:r w:rsidRPr="493B35FF">
        <w:rPr>
          <w:rFonts w:cs="FreeSans"/>
          <w:b/>
          <w:bCs/>
          <w:sz w:val="20"/>
          <w:szCs w:val="20"/>
          <w:lang w:val="es-ES"/>
        </w:rPr>
        <w:t>:</w:t>
      </w:r>
      <w:r w:rsidRPr="493B35FF">
        <w:rPr>
          <w:rFonts w:cs="FreeSans"/>
          <w:sz w:val="20"/>
          <w:szCs w:val="20"/>
          <w:lang w:val="es-ES"/>
        </w:rPr>
        <w:t xml:space="preserve"> </w:t>
      </w:r>
      <w:r w:rsidR="001C63E7" w:rsidRPr="493B35FF">
        <w:rPr>
          <w:rFonts w:cs="FreeSans"/>
          <w:sz w:val="20"/>
          <w:szCs w:val="20"/>
          <w:lang w:val="es-ES"/>
        </w:rPr>
        <w:t xml:space="preserve">a) </w:t>
      </w:r>
      <w:r w:rsidRPr="493B35FF">
        <w:rPr>
          <w:rFonts w:cs="FreeSans"/>
          <w:sz w:val="20"/>
          <w:szCs w:val="20"/>
          <w:lang w:val="es-ES"/>
        </w:rPr>
        <w:t>Autopsia de membrana y extracción de diferentes componentes del módulo de OI desechado</w:t>
      </w:r>
      <w:r w:rsidR="00B14E15" w:rsidRPr="493B35FF">
        <w:rPr>
          <w:rFonts w:cs="FreeSans"/>
          <w:sz w:val="20"/>
          <w:szCs w:val="20"/>
          <w:lang w:val="es-ES"/>
        </w:rPr>
        <w:t>; b) membrana de OI</w:t>
      </w:r>
      <w:r w:rsidR="006475A7" w:rsidRPr="493B35FF">
        <w:rPr>
          <w:rFonts w:cs="FreeSans"/>
          <w:sz w:val="20"/>
          <w:szCs w:val="20"/>
          <w:lang w:val="es-ES"/>
        </w:rPr>
        <w:t xml:space="preserve"> con ensuciamiento</w:t>
      </w:r>
      <w:r w:rsidR="00B14E15" w:rsidRPr="493B35FF">
        <w:rPr>
          <w:rFonts w:cs="FreeSans"/>
          <w:sz w:val="20"/>
          <w:szCs w:val="20"/>
          <w:lang w:val="es-ES"/>
        </w:rPr>
        <w:t>; c) espaciador del permeado</w:t>
      </w:r>
      <w:r w:rsidR="001C63E7" w:rsidRPr="493B35FF">
        <w:rPr>
          <w:rFonts w:cs="FreeSans"/>
          <w:sz w:val="20"/>
          <w:szCs w:val="20"/>
          <w:lang w:val="es-ES"/>
        </w:rPr>
        <w:t>.</w:t>
      </w:r>
    </w:p>
    <w:p w14:paraId="62A828A5" w14:textId="7EA8CCFF" w:rsidR="007824D1" w:rsidRPr="000322C2" w:rsidRDefault="007875D1" w:rsidP="00B1279B">
      <w:pPr>
        <w:pStyle w:val="08text"/>
        <w:keepNext/>
        <w:keepLines/>
        <w:spacing w:before="120" w:line="312" w:lineRule="auto"/>
        <w:ind w:firstLine="720"/>
        <w:rPr>
          <w:lang w:val="es-ES"/>
        </w:rPr>
      </w:pPr>
      <w:r w:rsidRPr="000322C2">
        <w:rPr>
          <w:lang w:val="es-ES"/>
        </w:rPr>
        <w:t xml:space="preserve">Las membranas de OI al final de su vida útil, se caracterizan por presentar ensuciamiento en su superficie. </w:t>
      </w:r>
      <w:r w:rsidR="0069423F">
        <w:rPr>
          <w:lang w:val="es-ES"/>
        </w:rPr>
        <w:t>Este ensuciamiento puede ser inorgánico (precipitación de sales), orgánico (ácidos húmicos, proteínas…)</w:t>
      </w:r>
      <w:r w:rsidR="00B1279B">
        <w:rPr>
          <w:lang w:val="es-ES"/>
        </w:rPr>
        <w:t>,</w:t>
      </w:r>
      <w:r w:rsidR="0069423F">
        <w:rPr>
          <w:lang w:val="es-ES"/>
        </w:rPr>
        <w:t xml:space="preserve"> o biológico. </w:t>
      </w:r>
      <w:r w:rsidR="00EA266E">
        <w:rPr>
          <w:lang w:val="es-ES"/>
        </w:rPr>
        <w:t>La</w:t>
      </w:r>
      <w:r w:rsidR="00B1279B">
        <w:rPr>
          <w:lang w:val="es-ES"/>
        </w:rPr>
        <w:t xml:space="preserve"> </w:t>
      </w:r>
      <w:r w:rsidR="00B1279B" w:rsidRPr="005D7804">
        <w:rPr>
          <w:lang w:val="es-ES"/>
        </w:rPr>
        <w:t>Figura 2 re</w:t>
      </w:r>
      <w:r w:rsidR="00B1279B">
        <w:rPr>
          <w:lang w:val="es-ES"/>
        </w:rPr>
        <w:t>presenta una membrana de OI al final de su vida útil</w:t>
      </w:r>
      <w:r w:rsidR="00DA3FBB">
        <w:rPr>
          <w:lang w:val="es-ES"/>
        </w:rPr>
        <w:t>. Estas membranas están compuestas por</w:t>
      </w:r>
      <w:r w:rsidR="00B1279B">
        <w:rPr>
          <w:lang w:val="es-ES"/>
        </w:rPr>
        <w:t xml:space="preserve"> una capa de poliéster (soporte mecánico), una capa porosa de polisulfona y una capa densa de poliamida sobre la que se deposita el ensuciamiento.</w:t>
      </w:r>
      <w:r w:rsidR="00B12AFB">
        <w:rPr>
          <w:lang w:val="es-ES"/>
        </w:rPr>
        <w:t xml:space="preserve"> Antes de </w:t>
      </w:r>
      <w:r w:rsidR="00EA266E">
        <w:rPr>
          <w:lang w:val="es-ES"/>
        </w:rPr>
        <w:t xml:space="preserve">utilizar estos componentes como soporte, </w:t>
      </w:r>
      <w:r w:rsidR="00B12AFB">
        <w:rPr>
          <w:lang w:val="es-ES"/>
        </w:rPr>
        <w:t xml:space="preserve">es necesario realizar un acondicionamiento </w:t>
      </w:r>
      <w:r w:rsidR="00EA266E">
        <w:rPr>
          <w:lang w:val="es-ES"/>
        </w:rPr>
        <w:t>previo</w:t>
      </w:r>
      <w:r w:rsidR="00B12AFB">
        <w:rPr>
          <w:lang w:val="es-ES"/>
        </w:rPr>
        <w:t>.</w:t>
      </w:r>
    </w:p>
    <w:p w14:paraId="64D798B6" w14:textId="1717B79E" w:rsidR="00875CF8" w:rsidRDefault="00875CF8" w:rsidP="0069423F">
      <w:pPr>
        <w:pStyle w:val="08text"/>
        <w:keepNext/>
        <w:keepLines/>
        <w:spacing w:line="240" w:lineRule="auto"/>
        <w:ind w:firstLine="454"/>
        <w:jc w:val="center"/>
        <w:rPr>
          <w:rFonts w:cs="FreeSans"/>
          <w:b/>
          <w:bCs/>
          <w:sz w:val="20"/>
          <w:szCs w:val="20"/>
          <w:highlight w:val="yellow"/>
        </w:rPr>
      </w:pPr>
      <w:r>
        <w:rPr>
          <w:noProof/>
        </w:rPr>
        <w:drawing>
          <wp:inline distT="0" distB="0" distL="0" distR="0" wp14:anchorId="322CF204" wp14:editId="79F64B7F">
            <wp:extent cx="2458921" cy="104775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2458921" cy="1047750"/>
                    </a:xfrm>
                    <a:prstGeom prst="rect">
                      <a:avLst/>
                    </a:prstGeom>
                  </pic:spPr>
                </pic:pic>
              </a:graphicData>
            </a:graphic>
          </wp:inline>
        </w:drawing>
      </w:r>
    </w:p>
    <w:p w14:paraId="3E0A74BB" w14:textId="77777777" w:rsidR="00875CF8" w:rsidRPr="00AE1DC0" w:rsidRDefault="00875CF8" w:rsidP="493B35FF">
      <w:pPr>
        <w:spacing w:line="312" w:lineRule="auto"/>
        <w:jc w:val="both"/>
        <w:rPr>
          <w:sz w:val="22"/>
          <w:szCs w:val="22"/>
        </w:rPr>
      </w:pPr>
      <w:r w:rsidRPr="493B35FF">
        <w:rPr>
          <w:rFonts w:cs="FreeSans"/>
          <w:b/>
          <w:bCs/>
          <w:sz w:val="20"/>
          <w:szCs w:val="20"/>
        </w:rPr>
        <w:t>Figura 2:</w:t>
      </w:r>
      <w:r w:rsidRPr="493B35FF">
        <w:rPr>
          <w:rFonts w:cs="FreeSans"/>
          <w:sz w:val="20"/>
          <w:szCs w:val="20"/>
        </w:rPr>
        <w:t xml:space="preserve"> Representación gráfica la sección de una membrana de OI al final de su vida útil.</w:t>
      </w:r>
    </w:p>
    <w:p w14:paraId="260FBBB5" w14:textId="6BF0D23F" w:rsidR="006C55B2" w:rsidRDefault="006C55B2" w:rsidP="493B35FF">
      <w:pPr>
        <w:spacing w:line="312" w:lineRule="auto"/>
        <w:jc w:val="both"/>
      </w:pPr>
      <w:r w:rsidRPr="493B35FF">
        <w:rPr>
          <w:b/>
          <w:bCs/>
        </w:rPr>
        <w:t>2.</w:t>
      </w:r>
      <w:r w:rsidR="47E1D866" w:rsidRPr="493B35FF">
        <w:rPr>
          <w:b/>
          <w:bCs/>
        </w:rPr>
        <w:t>3</w:t>
      </w:r>
      <w:r w:rsidRPr="493B35FF">
        <w:rPr>
          <w:b/>
          <w:bCs/>
        </w:rPr>
        <w:t>.</w:t>
      </w:r>
      <w:r>
        <w:t xml:space="preserve"> </w:t>
      </w:r>
      <w:r w:rsidR="00B12AFB" w:rsidRPr="493B35FF">
        <w:rPr>
          <w:b/>
          <w:bCs/>
        </w:rPr>
        <w:t>Acondicionamiento de los soportes</w:t>
      </w:r>
      <w:r>
        <w:t xml:space="preserve"> </w:t>
      </w:r>
    </w:p>
    <w:p w14:paraId="0565C3FD" w14:textId="75EC9304" w:rsidR="00A22288" w:rsidRDefault="001A331E" w:rsidP="00A22288">
      <w:pPr>
        <w:spacing w:before="120" w:line="312" w:lineRule="auto"/>
        <w:ind w:firstLine="720"/>
        <w:jc w:val="both"/>
      </w:pPr>
      <w:r>
        <w:t>L</w:t>
      </w:r>
      <w:r w:rsidR="005B4CDB">
        <w:t>os diferentes componentes</w:t>
      </w:r>
      <w:r w:rsidR="00B23E37">
        <w:t xml:space="preserve"> </w:t>
      </w:r>
      <w:r w:rsidR="00875CF8">
        <w:t>(espaciador de permeado</w:t>
      </w:r>
      <w:r w:rsidR="00875CF8" w:rsidRPr="00875CF8">
        <w:t xml:space="preserve"> </w:t>
      </w:r>
      <w:r w:rsidR="00875CF8">
        <w:t>y membrana</w:t>
      </w:r>
      <w:r w:rsidR="007A1775">
        <w:t xml:space="preserve"> de OI</w:t>
      </w:r>
      <w:r w:rsidR="00875CF8">
        <w:t>)</w:t>
      </w:r>
      <w:r w:rsidR="00A22288">
        <w:t xml:space="preserve"> </w:t>
      </w:r>
      <w:r w:rsidR="00DA3FBB">
        <w:t>son previamente</w:t>
      </w:r>
      <w:r>
        <w:t xml:space="preserve"> acondicionados </w:t>
      </w:r>
      <w:r w:rsidR="00DA3FBB">
        <w:t>antes de la</w:t>
      </w:r>
      <w:r>
        <w:t xml:space="preserve"> </w:t>
      </w:r>
      <w:r w:rsidR="00A22288">
        <w:t>preparación de membranas</w:t>
      </w:r>
      <w:r>
        <w:t xml:space="preserve"> aniónicas</w:t>
      </w:r>
      <w:r w:rsidR="00A22288">
        <w:t>. En primer lugar, para el espaciador del permeado, simplemente se lleva a cabo una limpieza con agua y desinfección con una dosis de exposición baja de NaClO</w:t>
      </w:r>
      <w:r w:rsidR="00B64194">
        <w:t xml:space="preserve"> (~500 ppm·h)</w:t>
      </w:r>
      <w:r w:rsidR="00A22288">
        <w:t xml:space="preserve">. </w:t>
      </w:r>
      <w:r w:rsidR="00875CF8">
        <w:t xml:space="preserve">En cuanto a la membrana, en función de las capas que se eliminen o </w:t>
      </w:r>
      <w:r w:rsidR="000B4E73">
        <w:t xml:space="preserve">en función de la forma de eliminarlas, podemos partir de distintos soportes: i) separando de forma física conjuntamente </w:t>
      </w:r>
      <w:r w:rsidR="00B14E15" w:rsidRPr="009257B7">
        <w:t>la</w:t>
      </w:r>
      <w:r w:rsidR="000B4E73">
        <w:t>s</w:t>
      </w:r>
      <w:r w:rsidR="00B14E15" w:rsidRPr="009257B7">
        <w:t xml:space="preserve"> capa</w:t>
      </w:r>
      <w:r w:rsidR="000B4E73">
        <w:t>s</w:t>
      </w:r>
      <w:r w:rsidR="00B14E15" w:rsidRPr="009257B7">
        <w:t xml:space="preserve"> de polisulfona y poliamida de</w:t>
      </w:r>
      <w:r w:rsidR="000B4E73">
        <w:t xml:space="preserve"> la </w:t>
      </w:r>
      <w:r w:rsidR="000B4E73">
        <w:lastRenderedPageBreak/>
        <w:t>capa de</w:t>
      </w:r>
      <w:r w:rsidR="00B14E15" w:rsidRPr="009257B7">
        <w:t xml:space="preserve"> poliéster; </w:t>
      </w:r>
      <w:proofErr w:type="spellStart"/>
      <w:r w:rsidR="000B4E73">
        <w:t>ii</w:t>
      </w:r>
      <w:proofErr w:type="spellEnd"/>
      <w:r w:rsidR="000B4E73">
        <w:t>) eliminando total o parcialmente</w:t>
      </w:r>
      <w:r w:rsidR="000B4E73" w:rsidRPr="009257B7">
        <w:t xml:space="preserve"> </w:t>
      </w:r>
      <w:r w:rsidR="000B4E73">
        <w:t xml:space="preserve">la capa de poliamida </w:t>
      </w:r>
      <w:r w:rsidR="00B14E15" w:rsidRPr="009257B7">
        <w:t>de forma química, mediante un tratamiento oxidativo con NaClO. Dosis de exposición relativamente bajas de NaClO (5</w:t>
      </w:r>
      <w:r w:rsidR="00B327EA">
        <w:t>.</w:t>
      </w:r>
      <w:r w:rsidR="00B14E15" w:rsidRPr="009257B7">
        <w:t>500 ppm·h) eliminan completamente el ensuciamiento y parte de la capa densa de poliamida, obteniendo una membrana con propiedades asimilables a una membrana de NF. Por otra parte, dosis de exposición más elevada</w:t>
      </w:r>
      <w:r w:rsidR="00964D54">
        <w:t>s</w:t>
      </w:r>
      <w:r w:rsidR="00B14E15" w:rsidRPr="009257B7">
        <w:t xml:space="preserve"> (&gt;300</w:t>
      </w:r>
      <w:r w:rsidR="00B327EA">
        <w:t>.</w:t>
      </w:r>
      <w:r w:rsidR="00B14E15" w:rsidRPr="009257B7">
        <w:t>000 ppm·h)</w:t>
      </w:r>
      <w:r w:rsidR="00964D54">
        <w:t xml:space="preserve"> </w:t>
      </w:r>
      <w:r w:rsidR="00B14E15" w:rsidRPr="009257B7">
        <w:t>elimina</w:t>
      </w:r>
      <w:r w:rsidR="00964D54">
        <w:t>n</w:t>
      </w:r>
      <w:r w:rsidR="00B14E15" w:rsidRPr="009257B7">
        <w:t xml:space="preserve"> totalmente tanto el ensuciamiento como la capa densa de poliamida, obteniendo un soporte con propiedades asimilables a una membrana de UF</w:t>
      </w:r>
      <w:r w:rsidR="0085381C">
        <w:t xml:space="preserve"> </w:t>
      </w:r>
      <w:r w:rsidR="00B14E15" w:rsidRPr="009257B7">
        <w:fldChar w:fldCharType="begin" w:fldLock="1"/>
      </w:r>
      <w:r w:rsidR="0085381C">
        <w:instrText>ADDIN CSL_CITATION {"citationItems":[{"id":"ITEM-1","itemData":{"DOI":"10.1016/j.memsci.2015.08.025","ISBN":"0376-7388","ISSN":"18733123","abstract":"Economic and environmental concerns demand the recycling and reuse of fouled, end-of-life, reverse osmosis (RO) membranes. Different dry stored coupons of commercial TM720-400 membranes were subjected to the chemical attack of NaOCl (124ppm free chlorine), acetone solution (10,000ppm) or N-methyl-2-pyrrolidone solution (10,000ppm). The best permeability results were achieved with NaOCl solution and consequently it was used as the key reagent for further analysis. The effect of pH and membrane storage on the transformation process was evaluated. Membrane permeability and rejection coefficients were tested filtering synthetic brackish water containing NaCl (2,000ppm), MgSO4 (2,000ppm) and dextrose (250ppm). The basic pH showed the highest effect on the membranes performance therefore, experiments were carried out up to 410h exposure time. The transforming process was repeated for five different commercial membrane brands, stored wet. Most of the transformed membranes achieved permeability and rejection like nanofiltration (NF) membranes up to 50h exposure time and performed like ultrafiltration (UF) membranes after 242h exposure time. It was observed that permeability and rejection coefficients were affected by the storage condition. This treatment may provide a cost effective and eco-friendly method of recycling end-of-life RO membrane process, at lab scale.","author":[{"dropping-particle":"","family":"García-Pacheco","given":"Raquel","non-dropping-particle":"","parse-names":false,"suffix":""},{"dropping-particle":"","family":"Landaburu-Aguirre","given":"Junkal","non-dropping-particle":"","parse-names":false,"suffix":""},{"dropping-particle":"","family":"Molina","given":"Serena","non-dropping-particle":"","parse-names":false,"suffix":""},{"dropping-particle":"","family":"Rodríguez-Sáez","given":"Laura","non-dropping-particle":"","parse-names":false,"suffix":""},{"dropping-particle":"","family":"Teli","given":"Shivanand B.","non-dropping-particle":"","parse-names":false,"suffix":""},{"dropping-particle":"","family":"García-Calvo","given":"Eloy","non-dropping-particle":"","parse-names":false,"suffix":""}],"container-title":"Journal of Membrane Science","id":"ITEM-1","issued":{"date-parts":[["2015"]]},"page":"305-315","publisher":"Elsevier","title":"Transformation of end-of-life RO membranes into NF and UF membranes: Evaluation of membrane performance","type":"article-journal","volume":"495"},"uris":["http://www.mendeley.com/documents/?uuid=2acd13fd-892e-4479-93b8-c4064e6b17e4"]}],"mendeley":{"formattedCitation":"(García-Pacheco et al., 2015)","plainTextFormattedCitation":"(García-Pacheco et al., 2015)","previouslyFormattedCitation":"(García-Pacheco et al., 2015)"},"properties":{"noteIndex":0},"schema":"https://github.com/citation-style-language/schema/raw/master/csl-citation.json"}</w:instrText>
      </w:r>
      <w:r w:rsidR="00B14E15" w:rsidRPr="009257B7">
        <w:fldChar w:fldCharType="separate"/>
      </w:r>
      <w:r w:rsidR="0085381C" w:rsidRPr="0085381C">
        <w:rPr>
          <w:noProof/>
        </w:rPr>
        <w:t>(García-Pacheco et al., 2015)</w:t>
      </w:r>
      <w:r w:rsidR="00B14E15" w:rsidRPr="009257B7">
        <w:fldChar w:fldCharType="end"/>
      </w:r>
      <w:r w:rsidR="00B14E15" w:rsidRPr="009257B7">
        <w:t>.</w:t>
      </w:r>
    </w:p>
    <w:p w14:paraId="1B12E103" w14:textId="336A0CE1" w:rsidR="00B75711" w:rsidRDefault="00B75711" w:rsidP="493B35FF">
      <w:pPr>
        <w:spacing w:line="312" w:lineRule="auto"/>
        <w:jc w:val="both"/>
      </w:pPr>
      <w:r w:rsidRPr="493B35FF">
        <w:rPr>
          <w:b/>
          <w:bCs/>
        </w:rPr>
        <w:t>2.</w:t>
      </w:r>
      <w:r w:rsidR="0771CB9D" w:rsidRPr="493B35FF">
        <w:rPr>
          <w:b/>
          <w:bCs/>
        </w:rPr>
        <w:t>4</w:t>
      </w:r>
      <w:r w:rsidRPr="493B35FF">
        <w:rPr>
          <w:b/>
          <w:bCs/>
        </w:rPr>
        <w:t>.</w:t>
      </w:r>
      <w:r>
        <w:t xml:space="preserve"> </w:t>
      </w:r>
      <w:r w:rsidRPr="493B35FF">
        <w:rPr>
          <w:b/>
          <w:bCs/>
        </w:rPr>
        <w:t xml:space="preserve">Preparación de Membranas de Intercambio </w:t>
      </w:r>
      <w:r w:rsidR="00B7658F" w:rsidRPr="493B35FF">
        <w:rPr>
          <w:b/>
          <w:bCs/>
        </w:rPr>
        <w:t>Ani</w:t>
      </w:r>
      <w:r w:rsidRPr="493B35FF">
        <w:rPr>
          <w:b/>
          <w:bCs/>
        </w:rPr>
        <w:t>ónico</w:t>
      </w:r>
    </w:p>
    <w:p w14:paraId="0B867452" w14:textId="4F7BA6D3" w:rsidR="00CA71AE" w:rsidRPr="00D525A1" w:rsidRDefault="00B7658F" w:rsidP="009257B7">
      <w:pPr>
        <w:spacing w:before="120" w:line="312" w:lineRule="auto"/>
        <w:ind w:firstLine="720"/>
        <w:jc w:val="both"/>
      </w:pPr>
      <w:r w:rsidRPr="00D525A1">
        <w:t xml:space="preserve">Las membranas de intercambio </w:t>
      </w:r>
      <w:r w:rsidR="007A1775">
        <w:t>an</w:t>
      </w:r>
      <w:r w:rsidRPr="00D525A1">
        <w:t xml:space="preserve">iónico se preparan mediante </w:t>
      </w:r>
      <w:proofErr w:type="gramStart"/>
      <w:r w:rsidRPr="00D525A1">
        <w:t xml:space="preserve">el </w:t>
      </w:r>
      <w:r w:rsidRPr="00D525A1">
        <w:rPr>
          <w:i/>
          <w:iCs/>
        </w:rPr>
        <w:t>casting</w:t>
      </w:r>
      <w:proofErr w:type="gramEnd"/>
      <w:r w:rsidRPr="00D525A1">
        <w:t xml:space="preserve"> de una mezcla polimérica </w:t>
      </w:r>
      <w:r w:rsidR="00DD7C11" w:rsidRPr="00D525A1">
        <w:t xml:space="preserve">sobre los diferentes soportes reciclados. Esta mezcla </w:t>
      </w:r>
      <w:r w:rsidRPr="00D525A1">
        <w:t xml:space="preserve">contiene una resina de intercambio aniónico finamente pulverizada, dispersa en una disolución de PVC disuelto en THF. La composición de esta mezcla polimérica es (1: 1) resina: PVC y (1:10) solidos totales: THF. </w:t>
      </w:r>
      <w:proofErr w:type="gramStart"/>
      <w:r w:rsidRPr="00D525A1">
        <w:t xml:space="preserve">El </w:t>
      </w:r>
      <w:r w:rsidRPr="00D525A1">
        <w:rPr>
          <w:i/>
          <w:iCs/>
        </w:rPr>
        <w:t>casting</w:t>
      </w:r>
      <w:proofErr w:type="gramEnd"/>
      <w:r w:rsidRPr="00D525A1">
        <w:t xml:space="preserve"> se realiza utilizando un </w:t>
      </w:r>
      <w:r w:rsidR="00DD7C11" w:rsidRPr="00D525A1">
        <w:rPr>
          <w:i/>
          <w:iCs/>
        </w:rPr>
        <w:t xml:space="preserve">casting </w:t>
      </w:r>
      <w:proofErr w:type="spellStart"/>
      <w:r w:rsidR="00DD7C11" w:rsidRPr="00D525A1">
        <w:rPr>
          <w:i/>
          <w:iCs/>
        </w:rPr>
        <w:t>knife</w:t>
      </w:r>
      <w:proofErr w:type="spellEnd"/>
      <w:r w:rsidR="00DD7C11" w:rsidRPr="00D525A1">
        <w:t xml:space="preserve"> y aplicando un espesor de 800 </w:t>
      </w:r>
      <w:r w:rsidR="00B327EA" w:rsidRPr="00B327EA">
        <w:rPr>
          <w:rFonts w:ascii="Symbol" w:hAnsi="Symbol"/>
        </w:rPr>
        <w:t></w:t>
      </w:r>
      <w:r w:rsidR="00B327EA">
        <w:t>m</w:t>
      </w:r>
      <w:r w:rsidR="00DD7C11" w:rsidRPr="00D525A1">
        <w:t xml:space="preserve"> de la mezcla polimérica sobre </w:t>
      </w:r>
      <w:r w:rsidR="00C2173F">
        <w:t xml:space="preserve">los distintos </w:t>
      </w:r>
      <w:r w:rsidR="00DD7C11" w:rsidRPr="00D525A1">
        <w:t>soporte</w:t>
      </w:r>
      <w:r w:rsidR="00C2173F">
        <w:t>s</w:t>
      </w:r>
      <w:r w:rsidR="00DD7C11" w:rsidRPr="00D525A1">
        <w:t xml:space="preserve"> </w:t>
      </w:r>
      <w:r w:rsidR="00C2173F">
        <w:t>propuestos</w:t>
      </w:r>
      <w:r w:rsidR="00DD7C11" w:rsidRPr="00D525A1">
        <w:t>.</w:t>
      </w:r>
      <w:r w:rsidR="009E726A" w:rsidRPr="00D525A1">
        <w:t xml:space="preserve"> El disolvente se evapora a temperatura ambiente y finalmente se introduce la membrana en un baño de agua. Las membranas se lavan y se conservan en agua MQ. Esta metodología ha sido descrita en detalle en </w:t>
      </w:r>
      <w:r w:rsidR="003D6BF1" w:rsidRPr="00D13EC1">
        <w:fldChar w:fldCharType="begin" w:fldLock="1"/>
      </w:r>
      <w:r w:rsidR="003D6BF1" w:rsidRPr="00D13EC1">
        <w:instrText>ADDIN CSL_CITATION {"citationItems":[{"id":"ITEM-1","itemData":{"DOI":"10.1016/j.memsci.2019.117423","ISSN":"03767388","abstract":"In the current study, the indirect recycling of discarded reverse osmosis modules as i) membrane support for the preparation of anion exchange membranes and ii) polypropylene components for the assembly of an electrodialysis stack have been investigated for the first time. In such a way, 51% of the discarded module could be recycled into an electrodialysis system composed of 54% of recycled components. Recycled anion exchange membranes have been prepared by casting and phase inversion methods using discarded reverse osmosis membranes, preconditioned as support. The influence of casting thickness and solvent evaporation time in membrane properties has been studied. Besides, a complete membrane characterization has been carried out (SEM, water content, ion exchange capacity, permselectivity, electrical resistance, diffusion coefficients and mechanical properties) to select the optimal membrane preparation conditions, obtaining recycled anion exchange membranes with a high permselectivity (87%, similar to the commercial membranes). Finally, the technical viability of the recycled membranes has been tested by brackish water desalination experiments in the assembled electrodialysis stack, achieving 84.5% of salt removal. This study could open an alternative within the recycling of discarded reverse osmosis membranes, avoiding their disposal in landfills and moving membrane technology into a circular economy.","author":[{"dropping-particle":"","family":"Lejarazu-Larrañaga","given":"Amaia","non-dropping-particle":"","parse-names":false,"suffix":""},{"dropping-particle":"","family":"Molina","given":"Serena","non-dropping-particle":"","parse-names":false,"suffix":""},{"dropping-particle":"","family":"Ortiz","given":"Juan Manuel","non-dropping-particle":"","parse-names":false,"suffix":""},{"dropping-particle":"","family":"Navarro","given":"Rodrigo","non-dropping-particle":"","parse-names":false,"suffix":""},{"dropping-particle":"","family":"García-Calvo","given":"Eloy","non-dropping-particle":"","parse-names":false,"suffix":""}],"container-title":"Journal of Membrane Science","id":"ITEM-1","issue":"July 2019","issued":{"date-parts":[["2020"]]},"page":"117423","publisher":"Elsevier B.V.","title":"Circular economy in membrane technology: Using end-of-life reverse osmosis modules for preparation of recycled anion exchange membranes and validation in electrodialysis","type":"article-journal","volume":"593"},"uris":["http://www.mendeley.com/documents/?uuid=cdce677d-9f2d-43f4-8ede-950eb6a709ab"]}],"mendeley":{"formattedCitation":"(Lejarazu-Larrañaga, Molina, Ortiz, Navarro, et al., 2020)","plainTextFormattedCitation":"(Lejarazu-Larrañaga, Molina, Ortiz, Navarro, et al., 2020)","previouslyFormattedCitation":"(Lejarazu-Larrañaga, Molina, Ortiz, Navarro, et al., 2020)"},"properties":{"noteIndex":0},"schema":"https://github.com/citation-style-language/schema/raw/master/csl-citation.json"}</w:instrText>
      </w:r>
      <w:r w:rsidR="003D6BF1" w:rsidRPr="00D13EC1">
        <w:fldChar w:fldCharType="separate"/>
      </w:r>
      <w:r w:rsidR="003D6BF1" w:rsidRPr="00D13EC1">
        <w:rPr>
          <w:noProof/>
        </w:rPr>
        <w:t>(Lejarazu-Larrañaga, Molina, Ortiz, Navarro, et al., 2020)</w:t>
      </w:r>
      <w:r w:rsidR="003D6BF1" w:rsidRPr="00D13EC1">
        <w:fldChar w:fldCharType="end"/>
      </w:r>
      <w:r w:rsidR="009E726A" w:rsidRPr="00D13EC1">
        <w:t>.</w:t>
      </w:r>
      <w:r w:rsidR="009E726A" w:rsidRPr="00D525A1">
        <w:t xml:space="preserve"> </w:t>
      </w:r>
    </w:p>
    <w:p w14:paraId="24581628" w14:textId="57AE5FFE" w:rsidR="00466CF9" w:rsidRDefault="00466CF9" w:rsidP="493B35FF">
      <w:pPr>
        <w:keepNext/>
        <w:spacing w:line="312" w:lineRule="auto"/>
        <w:jc w:val="both"/>
        <w:rPr>
          <w:b/>
          <w:bCs/>
        </w:rPr>
      </w:pPr>
      <w:r w:rsidRPr="493B35FF">
        <w:rPr>
          <w:b/>
          <w:bCs/>
        </w:rPr>
        <w:t>2.</w:t>
      </w:r>
      <w:r w:rsidR="66BF61CE" w:rsidRPr="493B35FF">
        <w:rPr>
          <w:b/>
          <w:bCs/>
        </w:rPr>
        <w:t>5</w:t>
      </w:r>
      <w:r w:rsidRPr="493B35FF">
        <w:rPr>
          <w:b/>
          <w:bCs/>
        </w:rPr>
        <w:t>.</w:t>
      </w:r>
      <w:r>
        <w:t xml:space="preserve"> </w:t>
      </w:r>
      <w:r w:rsidRPr="493B35FF">
        <w:rPr>
          <w:b/>
          <w:bCs/>
        </w:rPr>
        <w:t>Caracterización de Membranas de Intercambio Iónico</w:t>
      </w:r>
    </w:p>
    <w:p w14:paraId="095AB179" w14:textId="05158084" w:rsidR="009E726A" w:rsidRDefault="000F0564" w:rsidP="00D0746C">
      <w:pPr>
        <w:keepNext/>
        <w:spacing w:before="120" w:line="312" w:lineRule="auto"/>
        <w:ind w:firstLine="720"/>
        <w:jc w:val="both"/>
      </w:pPr>
      <w:r w:rsidRPr="00D525A1">
        <w:t xml:space="preserve">El espesor se ha medido </w:t>
      </w:r>
      <w:r w:rsidR="003B69DC">
        <w:t>utilizando</w:t>
      </w:r>
      <w:r w:rsidRPr="00D525A1">
        <w:t xml:space="preserve"> un </w:t>
      </w:r>
      <w:r w:rsidR="001A3A1D" w:rsidRPr="00D525A1">
        <w:t>micrómetro Mitutoyo IP65 (0–25 mm ± 0</w:t>
      </w:r>
      <w:r w:rsidR="004052F8">
        <w:t>,</w:t>
      </w:r>
      <w:r w:rsidR="001A3A1D" w:rsidRPr="00D525A1">
        <w:t>001 mm)</w:t>
      </w:r>
      <w:r w:rsidR="00FE3724">
        <w:t>.</w:t>
      </w:r>
      <w:r w:rsidR="001A3A1D" w:rsidRPr="00D525A1">
        <w:t xml:space="preserve"> </w:t>
      </w:r>
    </w:p>
    <w:p w14:paraId="031266CF" w14:textId="68DCCA6F" w:rsidR="00D0746C" w:rsidRPr="005D7804" w:rsidRDefault="00D0746C" w:rsidP="493B35FF">
      <w:pPr>
        <w:spacing w:before="120" w:line="312" w:lineRule="auto"/>
        <w:ind w:firstLine="720"/>
        <w:jc w:val="both"/>
        <w:rPr>
          <w:snapToGrid w:val="0"/>
          <w:color w:val="auto"/>
          <w:lang w:bidi="en-US"/>
        </w:rPr>
      </w:pPr>
      <w:r w:rsidRPr="00D525A1">
        <w:rPr>
          <w:snapToGrid w:val="0"/>
          <w:color w:val="auto"/>
          <w:lang w:bidi="en-US"/>
        </w:rPr>
        <w:t xml:space="preserve">La resistencia eléctrica de las membranas está directamente relacionada con el consumo energético del sistema electroquímico. Se mide utilizando la celda esquematizada en </w:t>
      </w:r>
      <w:r w:rsidRPr="005D7804">
        <w:rPr>
          <w:snapToGrid w:val="0"/>
          <w:color w:val="auto"/>
          <w:lang w:bidi="en-US"/>
        </w:rPr>
        <w:t xml:space="preserve">la Figura </w:t>
      </w:r>
      <w:r w:rsidR="00416909" w:rsidRPr="005D7804">
        <w:rPr>
          <w:snapToGrid w:val="0"/>
          <w:color w:val="auto"/>
          <w:lang w:bidi="en-US"/>
        </w:rPr>
        <w:t>3</w:t>
      </w:r>
      <w:r w:rsidR="00200D4E" w:rsidRPr="005D7804">
        <w:rPr>
          <w:snapToGrid w:val="0"/>
          <w:color w:val="auto"/>
          <w:lang w:bidi="en-US"/>
        </w:rPr>
        <w:t>,</w:t>
      </w:r>
      <w:r w:rsidRPr="005D7804">
        <w:rPr>
          <w:snapToGrid w:val="0"/>
          <w:color w:val="auto"/>
          <w:lang w:bidi="en-US"/>
        </w:rPr>
        <w:t xml:space="preserve"> </w:t>
      </w:r>
      <w:r w:rsidR="00200D4E" w:rsidRPr="005D7804">
        <w:rPr>
          <w:snapToGrid w:val="0"/>
          <w:color w:val="auto"/>
          <w:lang w:bidi="en-US"/>
        </w:rPr>
        <w:t xml:space="preserve">utilizando </w:t>
      </w:r>
      <w:r w:rsidRPr="005D7804">
        <w:rPr>
          <w:snapToGrid w:val="0"/>
          <w:color w:val="auto"/>
          <w:lang w:bidi="en-US"/>
        </w:rPr>
        <w:t>disoluciones de NaCl (0</w:t>
      </w:r>
      <w:r w:rsidR="004D58E0" w:rsidRPr="005D7804">
        <w:rPr>
          <w:snapToGrid w:val="0"/>
          <w:color w:val="auto"/>
          <w:lang w:bidi="en-US"/>
        </w:rPr>
        <w:t>,</w:t>
      </w:r>
      <w:r w:rsidRPr="005D7804">
        <w:rPr>
          <w:snapToGrid w:val="0"/>
          <w:color w:val="auto"/>
          <w:lang w:bidi="en-US"/>
        </w:rPr>
        <w:t>5 M). Se aplica un potencial eléctrico y se mide</w:t>
      </w:r>
      <w:r w:rsidRPr="00D525A1">
        <w:rPr>
          <w:snapToGrid w:val="0"/>
          <w:color w:val="auto"/>
          <w:lang w:bidi="en-US"/>
        </w:rPr>
        <w:t xml:space="preserve"> la corriente eléctrica establecida entre dos electrodos de referencia</w:t>
      </w:r>
      <w:r w:rsidR="000A711E">
        <w:rPr>
          <w:snapToGrid w:val="0"/>
          <w:color w:val="auto"/>
          <w:lang w:bidi="en-US"/>
        </w:rPr>
        <w:t xml:space="preserve"> de Ag/AgCl</w:t>
      </w:r>
      <w:r w:rsidRPr="00D525A1">
        <w:rPr>
          <w:snapToGrid w:val="0"/>
          <w:color w:val="auto"/>
          <w:lang w:bidi="en-US"/>
        </w:rPr>
        <w:t xml:space="preserve">. Las medidas se realizan aplicando diferentes </w:t>
      </w:r>
      <w:r w:rsidR="00146A6B">
        <w:rPr>
          <w:snapToGrid w:val="0"/>
          <w:color w:val="auto"/>
          <w:lang w:bidi="en-US"/>
        </w:rPr>
        <w:t>voltajes</w:t>
      </w:r>
      <w:r w:rsidR="00352BB5">
        <w:rPr>
          <w:snapToGrid w:val="0"/>
          <w:color w:val="auto"/>
          <w:lang w:bidi="en-US"/>
        </w:rPr>
        <w:t>,</w:t>
      </w:r>
      <w:r w:rsidRPr="00D525A1">
        <w:rPr>
          <w:snapToGrid w:val="0"/>
          <w:color w:val="auto"/>
          <w:lang w:bidi="en-US"/>
        </w:rPr>
        <w:t xml:space="preserve"> con y sin membrana</w:t>
      </w:r>
      <w:r>
        <w:rPr>
          <w:snapToGrid w:val="0"/>
          <w:color w:val="auto"/>
          <w:lang w:bidi="en-US"/>
        </w:rPr>
        <w:t xml:space="preserve">. </w:t>
      </w:r>
      <w:r w:rsidRPr="00D525A1">
        <w:rPr>
          <w:snapToGrid w:val="0"/>
          <w:color w:val="auto"/>
          <w:lang w:bidi="en-US"/>
        </w:rPr>
        <w:t xml:space="preserve">La resistencia eléctrica se calcula con la representación gráfica de la ley de </w:t>
      </w:r>
      <w:r w:rsidRPr="005D7804">
        <w:rPr>
          <w:snapToGrid w:val="0"/>
          <w:color w:val="auto"/>
          <w:lang w:bidi="en-US"/>
        </w:rPr>
        <w:t xml:space="preserve">Ohm (Ecuación </w:t>
      </w:r>
      <w:r w:rsidR="00200D4E" w:rsidRPr="005D7804">
        <w:rPr>
          <w:snapToGrid w:val="0"/>
          <w:color w:val="auto"/>
          <w:lang w:bidi="en-US"/>
        </w:rPr>
        <w:t>1</w:t>
      </w:r>
      <w:r w:rsidRPr="005D7804">
        <w:rPr>
          <w:snapToGrid w:val="0"/>
          <w:color w:val="auto"/>
          <w:lang w:bidi="en-US"/>
        </w:rPr>
        <w:t xml:space="preserve">).  </w:t>
      </w:r>
    </w:p>
    <w:tbl>
      <w:tblPr>
        <w:tblW w:w="8046" w:type="dxa"/>
        <w:tblLayout w:type="fixed"/>
        <w:tblLook w:val="04A0" w:firstRow="1" w:lastRow="0" w:firstColumn="1" w:lastColumn="0" w:noHBand="0" w:noVBand="1"/>
      </w:tblPr>
      <w:tblGrid>
        <w:gridCol w:w="3652"/>
        <w:gridCol w:w="4394"/>
      </w:tblGrid>
      <w:tr w:rsidR="00D0746C" w:rsidRPr="005D7804" w14:paraId="2B6C0BA9" w14:textId="77777777" w:rsidTr="002F5A19">
        <w:tc>
          <w:tcPr>
            <w:tcW w:w="3652" w:type="dxa"/>
            <w:shd w:val="clear" w:color="auto" w:fill="auto"/>
          </w:tcPr>
          <w:p w14:paraId="73FEC613" w14:textId="77777777" w:rsidR="00D0746C" w:rsidRPr="005D7804" w:rsidRDefault="00D0746C" w:rsidP="008E49F5">
            <w:pPr>
              <w:spacing w:before="120" w:line="312" w:lineRule="auto"/>
              <w:ind w:left="720" w:firstLine="720"/>
              <w:jc w:val="both"/>
              <w:rPr>
                <w:rFonts w:cs="Times New Roman PS"/>
                <w:color w:val="auto"/>
              </w:rPr>
            </w:pPr>
            <m:oMathPara>
              <m:oMathParaPr>
                <m:jc m:val="left"/>
              </m:oMathParaPr>
              <m:oMath>
                <m:r>
                  <w:rPr>
                    <w:rFonts w:ascii="Cambria Math" w:hAnsi="Cambria Math"/>
                    <w:lang w:val="en-GB"/>
                  </w:rPr>
                  <w:lastRenderedPageBreak/>
                  <m:t>R</m:t>
                </m:r>
                <m:r>
                  <w:rPr>
                    <w:rFonts w:ascii="Cambria Math" w:hAnsi="Cambria Math"/>
                  </w:rPr>
                  <m:t>=</m:t>
                </m:r>
                <m:f>
                  <m:fPr>
                    <m:ctrlPr>
                      <w:rPr>
                        <w:rFonts w:ascii="Cambria Math" w:hAnsi="Cambria Math"/>
                        <w:i/>
                        <w:lang w:val="en-GB"/>
                      </w:rPr>
                    </m:ctrlPr>
                  </m:fPr>
                  <m:num>
                    <m:r>
                      <w:rPr>
                        <w:rFonts w:ascii="Cambria Math" w:hAnsi="Cambria Math"/>
                        <w:lang w:val="en-GB"/>
                      </w:rPr>
                      <m:t>U</m:t>
                    </m:r>
                  </m:num>
                  <m:den>
                    <m:r>
                      <w:rPr>
                        <w:rFonts w:ascii="Cambria Math" w:hAnsi="Cambria Math"/>
                        <w:lang w:val="en-GB"/>
                      </w:rPr>
                      <m:t>I</m:t>
                    </m:r>
                  </m:den>
                </m:f>
              </m:oMath>
            </m:oMathPara>
          </w:p>
        </w:tc>
        <w:tc>
          <w:tcPr>
            <w:tcW w:w="4394" w:type="dxa"/>
            <w:shd w:val="clear" w:color="auto" w:fill="auto"/>
            <w:vAlign w:val="center"/>
          </w:tcPr>
          <w:p w14:paraId="1001AD8F" w14:textId="0889BBAB" w:rsidR="00D0746C" w:rsidRPr="005D7804" w:rsidRDefault="00200D4E" w:rsidP="002F5A19">
            <w:pPr>
              <w:pStyle w:val="Caption"/>
              <w:spacing w:after="0" w:line="312" w:lineRule="auto"/>
              <w:ind w:left="3576"/>
              <w:jc w:val="right"/>
              <w:rPr>
                <w:bCs/>
                <w:i w:val="0"/>
                <w:iCs w:val="0"/>
                <w:color w:val="auto"/>
              </w:rPr>
            </w:pPr>
            <w:r w:rsidRPr="005D7804">
              <w:rPr>
                <w:bCs/>
                <w:i w:val="0"/>
                <w:iCs w:val="0"/>
                <w:color w:val="auto"/>
              </w:rPr>
              <w:t>(1</w:t>
            </w:r>
            <w:r w:rsidR="00D0746C" w:rsidRPr="005D7804">
              <w:rPr>
                <w:bCs/>
                <w:i w:val="0"/>
                <w:iCs w:val="0"/>
                <w:color w:val="auto"/>
              </w:rPr>
              <w:t>)</w:t>
            </w:r>
          </w:p>
        </w:tc>
      </w:tr>
    </w:tbl>
    <w:p w14:paraId="6B081B86" w14:textId="01581435" w:rsidR="00D0746C" w:rsidRPr="00D13EC1" w:rsidRDefault="00D0746C" w:rsidP="00D0746C">
      <w:pPr>
        <w:autoSpaceDE w:val="0"/>
        <w:autoSpaceDN w:val="0"/>
        <w:adjustRightInd w:val="0"/>
        <w:spacing w:before="120" w:line="312" w:lineRule="auto"/>
        <w:ind w:firstLine="720"/>
        <w:jc w:val="both"/>
      </w:pPr>
      <w:r w:rsidRPr="005D7804">
        <w:t xml:space="preserve">donde, </w:t>
      </w:r>
      <w:r w:rsidRPr="005D7804">
        <w:rPr>
          <w:i/>
          <w:iCs/>
          <w:snapToGrid w:val="0"/>
          <w:lang w:bidi="en-US"/>
        </w:rPr>
        <w:t>R</w:t>
      </w:r>
      <w:r w:rsidRPr="005D7804">
        <w:rPr>
          <w:snapToGrid w:val="0"/>
          <w:lang w:bidi="en-US"/>
        </w:rPr>
        <w:t xml:space="preserve"> (Ω) es la resistencia eléctrica, </w:t>
      </w:r>
      <w:r w:rsidRPr="005D7804">
        <w:rPr>
          <w:i/>
          <w:iCs/>
          <w:snapToGrid w:val="0"/>
          <w:lang w:bidi="en-US"/>
        </w:rPr>
        <w:t>U</w:t>
      </w:r>
      <w:r w:rsidRPr="005D7804">
        <w:rPr>
          <w:snapToGrid w:val="0"/>
          <w:lang w:bidi="en-US"/>
        </w:rPr>
        <w:t xml:space="preserve"> (V) el potencial aplicado y </w:t>
      </w:r>
      <w:r w:rsidR="00200D4E" w:rsidRPr="005D7804">
        <w:rPr>
          <w:i/>
          <w:snapToGrid w:val="0"/>
          <w:lang w:bidi="en-US"/>
        </w:rPr>
        <w:t>I</w:t>
      </w:r>
      <w:r w:rsidR="00200D4E" w:rsidRPr="005D7804">
        <w:rPr>
          <w:snapToGrid w:val="0"/>
          <w:lang w:bidi="en-US"/>
        </w:rPr>
        <w:t xml:space="preserve"> </w:t>
      </w:r>
      <w:r w:rsidRPr="005D7804">
        <w:rPr>
          <w:snapToGrid w:val="0"/>
          <w:lang w:bidi="en-US"/>
        </w:rPr>
        <w:t>(A) la corriente.</w:t>
      </w:r>
      <w:r w:rsidRPr="005D7804">
        <w:t xml:space="preserve"> La resistencia eléctrica de la membrana (</w:t>
      </w:r>
      <w:proofErr w:type="spellStart"/>
      <w:r w:rsidRPr="005D7804">
        <w:rPr>
          <w:i/>
          <w:iCs/>
        </w:rPr>
        <w:t>R</w:t>
      </w:r>
      <w:r w:rsidRPr="005D7804">
        <w:rPr>
          <w:i/>
          <w:iCs/>
          <w:vertAlign w:val="subscript"/>
        </w:rPr>
        <w:t>m</w:t>
      </w:r>
      <w:proofErr w:type="spellEnd"/>
      <w:r w:rsidRPr="005D7804">
        <w:t xml:space="preserve">) se calcula mediante la Ecuación </w:t>
      </w:r>
      <w:r w:rsidR="00200D4E" w:rsidRPr="00D13EC1">
        <w:t xml:space="preserve">2 </w:t>
      </w:r>
      <w:r w:rsidR="003D6BF1" w:rsidRPr="00D13EC1">
        <w:rPr>
          <w:snapToGrid w:val="0"/>
          <w:color w:val="auto"/>
          <w:lang w:bidi="en-US"/>
        </w:rPr>
        <w:fldChar w:fldCharType="begin" w:fldLock="1"/>
      </w:r>
      <w:r w:rsidR="003D6BF1" w:rsidRPr="00D13EC1">
        <w:rPr>
          <w:snapToGrid w:val="0"/>
          <w:color w:val="auto"/>
          <w:lang w:bidi="en-US"/>
        </w:rPr>
        <w:instrText>ADDIN CSL_CITATION {"citationItems":[{"id":"ITEM-1","itemData":{"DOI":"10.1016/j.memsci.2019.117423","ISSN":"03767388","abstract":"In the current study, the indirect recycling of discarded reverse osmosis modules as i) membrane support for the preparation of anion exchange membranes and ii) polypropylene components for the assembly of an electrodialysis stack have been investigated for the first time. In such a way, 51% of the discarded module could be recycled into an electrodialysis system composed of 54% of recycled components. Recycled anion exchange membranes have been prepared by casting and phase inversion methods using discarded reverse osmosis membranes, preconditioned as support. The influence of casting thickness and solvent evaporation time in membrane properties has been studied. Besides, a complete membrane characterization has been carried out (SEM, water content, ion exchange capacity, permselectivity, electrical resistance, diffusion coefficients and mechanical properties) to select the optimal membrane preparation conditions, obtaining recycled anion exchange membranes with a high permselectivity (87%, similar to the commercial membranes). Finally, the technical viability of the recycled membranes has been tested by brackish water desalination experiments in the assembled electrodialysis stack, achieving 84.5% of salt removal. This study could open an alternative within the recycling of discarded reverse osmosis membranes, avoiding their disposal in landfills and moving membrane technology into a circular economy.","author":[{"dropping-particle":"","family":"Lejarazu-Larrañaga","given":"Amaia","non-dropping-particle":"","parse-names":false,"suffix":""},{"dropping-particle":"","family":"Molina","given":"Serena","non-dropping-particle":"","parse-names":false,"suffix":""},{"dropping-particle":"","family":"Ortiz","given":"Juan Manuel","non-dropping-particle":"","parse-names":false,"suffix":""},{"dropping-particle":"","family":"Navarro","given":"Rodrigo","non-dropping-particle":"","parse-names":false,"suffix":""},{"dropping-particle":"","family":"García-Calvo","given":"Eloy","non-dropping-particle":"","parse-names":false,"suffix":""}],"container-title":"Journal of Membrane Science","id":"ITEM-1","issue":"July 2019","issued":{"date-parts":[["2020"]]},"page":"117423","publisher":"Elsevier B.V.","title":"Circular economy in membrane technology: Using end-of-life reverse osmosis modules for preparation of recycled anion exchange membranes and validation in electrodialysis","type":"article-journal","volume":"593"},"uris":["http://www.mendeley.com/documents/?uuid=cdce677d-9f2d-43f4-8ede-950eb6a709ab"]}],"mendeley":{"formattedCitation":"(Lejarazu-Larrañaga, Molina, Ortiz, Navarro, et al., 2020)","plainTextFormattedCitation":"(Lejarazu-Larrañaga, Molina, Ortiz, Navarro, et al., 2020)","previouslyFormattedCitation":"(Lejarazu-Larrañaga, Molina, Ortiz, Navarro, et al., 2020)"},"properties":{"noteIndex":0},"schema":"https://github.com/citation-style-language/schema/raw/master/csl-citation.json"}</w:instrText>
      </w:r>
      <w:r w:rsidR="003D6BF1" w:rsidRPr="00D13EC1">
        <w:rPr>
          <w:snapToGrid w:val="0"/>
          <w:color w:val="auto"/>
          <w:lang w:bidi="en-US"/>
        </w:rPr>
        <w:fldChar w:fldCharType="separate"/>
      </w:r>
      <w:r w:rsidR="003D6BF1" w:rsidRPr="00D13EC1">
        <w:rPr>
          <w:noProof/>
          <w:snapToGrid w:val="0"/>
          <w:color w:val="auto"/>
          <w:lang w:bidi="en-US"/>
        </w:rPr>
        <w:t>(Lejarazu-Larrañaga, Molina, Ortiz, Navarro, et al., 2020)</w:t>
      </w:r>
      <w:r w:rsidR="003D6BF1" w:rsidRPr="00D13EC1">
        <w:rPr>
          <w:snapToGrid w:val="0"/>
          <w:color w:val="auto"/>
          <w:lang w:bidi="en-US"/>
        </w:rPr>
        <w:fldChar w:fldCharType="end"/>
      </w:r>
      <w:r w:rsidRPr="00D13EC1">
        <w:rPr>
          <w:snapToGrid w:val="0"/>
          <w:color w:val="auto"/>
          <w:lang w:bidi="en-US"/>
        </w:rPr>
        <w:t>.</w:t>
      </w:r>
      <w:r w:rsidRPr="00D13EC1">
        <w:t xml:space="preserve"> </w:t>
      </w:r>
    </w:p>
    <w:tbl>
      <w:tblPr>
        <w:tblW w:w="8080" w:type="dxa"/>
        <w:tblInd w:w="-34" w:type="dxa"/>
        <w:tblLook w:val="04A0" w:firstRow="1" w:lastRow="0" w:firstColumn="1" w:lastColumn="0" w:noHBand="0" w:noVBand="1"/>
      </w:tblPr>
      <w:tblGrid>
        <w:gridCol w:w="6663"/>
        <w:gridCol w:w="1417"/>
      </w:tblGrid>
      <w:tr w:rsidR="00D0746C" w:rsidRPr="00D525A1" w14:paraId="35E1FB6D" w14:textId="77777777" w:rsidTr="004D58E0">
        <w:tc>
          <w:tcPr>
            <w:tcW w:w="6663" w:type="dxa"/>
            <w:shd w:val="clear" w:color="auto" w:fill="auto"/>
          </w:tcPr>
          <w:p w14:paraId="3114C84F" w14:textId="77777777" w:rsidR="00D0746C" w:rsidRPr="00D525A1" w:rsidRDefault="00A078BD" w:rsidP="008E49F5">
            <w:pPr>
              <w:spacing w:before="120" w:line="312" w:lineRule="auto"/>
              <w:ind w:left="720" w:firstLine="720"/>
              <w:rPr>
                <w:snapToGrid w:val="0"/>
                <w:lang w:bidi="en-US"/>
              </w:rPr>
            </w:pPr>
            <m:oMathPara>
              <m:oMathParaPr>
                <m:jc m:val="left"/>
              </m:oMathParaPr>
              <m:oMath>
                <m:sSub>
                  <m:sSubPr>
                    <m:ctrlPr>
                      <w:rPr>
                        <w:rFonts w:ascii="Cambria Math" w:hAnsi="Cambria Math"/>
                        <w:i/>
                      </w:rPr>
                    </m:ctrlPr>
                  </m:sSubPr>
                  <m:e>
                    <m:r>
                      <w:rPr>
                        <w:rFonts w:ascii="Cambria Math" w:hAnsi="Cambria Math"/>
                      </w:rPr>
                      <m:t>R</m:t>
                    </m:r>
                  </m:e>
                  <m:sub>
                    <m:r>
                      <w:rPr>
                        <w:rFonts w:ascii="Cambria Math" w:hAnsi="Cambria Math"/>
                      </w:rPr>
                      <m:t>m</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R</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1</m:t>
                        </m:r>
                      </m:sub>
                    </m:sSub>
                  </m:e>
                </m:d>
                <m:r>
                  <w:rPr>
                    <w:rFonts w:ascii="Cambria Math" w:hAnsi="Cambria Math"/>
                  </w:rPr>
                  <m:t>·A</m:t>
                </m:r>
              </m:oMath>
            </m:oMathPara>
          </w:p>
        </w:tc>
        <w:tc>
          <w:tcPr>
            <w:tcW w:w="1417" w:type="dxa"/>
            <w:shd w:val="clear" w:color="auto" w:fill="auto"/>
          </w:tcPr>
          <w:p w14:paraId="05555672" w14:textId="11161EC4" w:rsidR="00D0746C" w:rsidRPr="00D525A1" w:rsidRDefault="00D0746C" w:rsidP="00200D4E">
            <w:pPr>
              <w:spacing w:before="120" w:line="312" w:lineRule="auto"/>
              <w:ind w:firstLine="720"/>
              <w:jc w:val="right"/>
              <w:rPr>
                <w:snapToGrid w:val="0"/>
                <w:lang w:bidi="en-US"/>
              </w:rPr>
            </w:pPr>
            <w:r w:rsidRPr="00D525A1">
              <w:rPr>
                <w:snapToGrid w:val="0"/>
                <w:lang w:bidi="en-US"/>
              </w:rPr>
              <w:t>(</w:t>
            </w:r>
            <w:r w:rsidR="00200D4E">
              <w:rPr>
                <w:snapToGrid w:val="0"/>
                <w:lang w:bidi="en-US"/>
              </w:rPr>
              <w:t>2</w:t>
            </w:r>
            <w:r w:rsidRPr="00D525A1">
              <w:rPr>
                <w:snapToGrid w:val="0"/>
                <w:lang w:bidi="en-US"/>
              </w:rPr>
              <w:t>)</w:t>
            </w:r>
          </w:p>
        </w:tc>
      </w:tr>
    </w:tbl>
    <w:p w14:paraId="39775E4A" w14:textId="77777777" w:rsidR="00D0746C" w:rsidRPr="00D525A1" w:rsidRDefault="00D0746C" w:rsidP="00D0746C">
      <w:pPr>
        <w:spacing w:before="120" w:line="312" w:lineRule="auto"/>
        <w:ind w:firstLine="720"/>
        <w:jc w:val="both"/>
        <w:rPr>
          <w:snapToGrid w:val="0"/>
          <w:lang w:bidi="en-US"/>
        </w:rPr>
      </w:pPr>
      <w:r w:rsidRPr="00D525A1">
        <w:rPr>
          <w:snapToGrid w:val="0"/>
          <w:lang w:bidi="en-US"/>
        </w:rPr>
        <w:t xml:space="preserve">donde, </w:t>
      </w:r>
      <w:proofErr w:type="spellStart"/>
      <w:r w:rsidRPr="00D525A1">
        <w:rPr>
          <w:i/>
          <w:iCs/>
          <w:snapToGrid w:val="0"/>
          <w:lang w:bidi="en-US"/>
        </w:rPr>
        <w:t>R</w:t>
      </w:r>
      <w:r w:rsidRPr="00D525A1">
        <w:rPr>
          <w:i/>
          <w:iCs/>
          <w:snapToGrid w:val="0"/>
          <w:vertAlign w:val="subscript"/>
          <w:lang w:bidi="en-US"/>
        </w:rPr>
        <w:t>m</w:t>
      </w:r>
      <w:proofErr w:type="spellEnd"/>
      <w:r w:rsidRPr="00D525A1">
        <w:rPr>
          <w:snapToGrid w:val="0"/>
          <w:lang w:bidi="en-US"/>
        </w:rPr>
        <w:t xml:space="preserve"> (Ω·cm</w:t>
      </w:r>
      <w:r w:rsidRPr="00D525A1">
        <w:rPr>
          <w:snapToGrid w:val="0"/>
          <w:vertAlign w:val="superscript"/>
          <w:lang w:bidi="en-US"/>
        </w:rPr>
        <w:t>2</w:t>
      </w:r>
      <w:r w:rsidRPr="00D525A1">
        <w:rPr>
          <w:snapToGrid w:val="0"/>
          <w:lang w:bidi="en-US"/>
        </w:rPr>
        <w:t xml:space="preserve">) es la resistencia eléctrica de la membrana, </w:t>
      </w:r>
      <w:r w:rsidRPr="00D525A1">
        <w:rPr>
          <w:i/>
          <w:iCs/>
          <w:snapToGrid w:val="0"/>
          <w:lang w:bidi="en-US"/>
        </w:rPr>
        <w:t>R</w:t>
      </w:r>
      <w:r w:rsidRPr="00D525A1">
        <w:rPr>
          <w:i/>
          <w:iCs/>
          <w:snapToGrid w:val="0"/>
          <w:vertAlign w:val="subscript"/>
          <w:lang w:bidi="en-US"/>
        </w:rPr>
        <w:t>2</w:t>
      </w:r>
      <w:r w:rsidRPr="00D525A1">
        <w:rPr>
          <w:snapToGrid w:val="0"/>
          <w:lang w:bidi="en-US"/>
        </w:rPr>
        <w:t xml:space="preserve"> (Ω) es la resistencia eléctrica de la celda con la membrana, </w:t>
      </w:r>
      <w:r w:rsidRPr="00D525A1">
        <w:rPr>
          <w:i/>
          <w:iCs/>
          <w:snapToGrid w:val="0"/>
          <w:lang w:bidi="en-US"/>
        </w:rPr>
        <w:t>R</w:t>
      </w:r>
      <w:r w:rsidRPr="00D525A1">
        <w:rPr>
          <w:i/>
          <w:iCs/>
          <w:snapToGrid w:val="0"/>
          <w:vertAlign w:val="subscript"/>
          <w:lang w:bidi="en-US"/>
        </w:rPr>
        <w:t>1</w:t>
      </w:r>
      <w:r w:rsidRPr="00D525A1">
        <w:rPr>
          <w:snapToGrid w:val="0"/>
          <w:lang w:bidi="en-US"/>
        </w:rPr>
        <w:t xml:space="preserve"> (Ω) es la resistencia eléctrica de la celda sin la membrana y </w:t>
      </w:r>
      <w:r w:rsidRPr="00D525A1">
        <w:rPr>
          <w:i/>
          <w:iCs/>
          <w:snapToGrid w:val="0"/>
          <w:lang w:bidi="en-US"/>
        </w:rPr>
        <w:t>A</w:t>
      </w:r>
      <w:r w:rsidRPr="00D525A1">
        <w:rPr>
          <w:snapToGrid w:val="0"/>
          <w:lang w:bidi="en-US"/>
        </w:rPr>
        <w:t xml:space="preserve"> (cm</w:t>
      </w:r>
      <w:r w:rsidRPr="00D525A1">
        <w:rPr>
          <w:snapToGrid w:val="0"/>
          <w:vertAlign w:val="superscript"/>
          <w:lang w:bidi="en-US"/>
        </w:rPr>
        <w:t>2</w:t>
      </w:r>
      <w:r w:rsidRPr="00D525A1">
        <w:rPr>
          <w:snapToGrid w:val="0"/>
          <w:lang w:bidi="en-US"/>
        </w:rPr>
        <w:t xml:space="preserve">) es el área efectiva de membrana. </w:t>
      </w:r>
    </w:p>
    <w:p w14:paraId="0D22FCE0" w14:textId="794F0499" w:rsidR="00C0656D" w:rsidRPr="00D525A1" w:rsidRDefault="000F0564" w:rsidP="00D0746C">
      <w:pPr>
        <w:spacing w:before="120" w:line="312" w:lineRule="auto"/>
        <w:ind w:firstLine="720"/>
        <w:jc w:val="both"/>
      </w:pPr>
      <w:r w:rsidRPr="00D525A1">
        <w:t xml:space="preserve">La permselectividad </w:t>
      </w:r>
      <w:r w:rsidR="002F1FB8" w:rsidRPr="00D525A1">
        <w:t>(</w:t>
      </w:r>
      <w:r w:rsidR="002F1FB8" w:rsidRPr="000A711E">
        <w:rPr>
          <w:i/>
          <w:iCs/>
        </w:rPr>
        <w:t>α</w:t>
      </w:r>
      <w:r w:rsidR="002F1FB8" w:rsidRPr="00D525A1">
        <w:t xml:space="preserve">), </w:t>
      </w:r>
      <w:r w:rsidR="00C0656D" w:rsidRPr="00D525A1">
        <w:t>mide l</w:t>
      </w:r>
      <w:r w:rsidRPr="00D525A1">
        <w:t xml:space="preserve">a capacidad de una </w:t>
      </w:r>
      <w:r w:rsidR="001A3A1D" w:rsidRPr="00D525A1">
        <w:t>membrana</w:t>
      </w:r>
      <w:r w:rsidRPr="00D525A1">
        <w:t xml:space="preserve"> de intercambio </w:t>
      </w:r>
      <w:r w:rsidR="001A3A1D" w:rsidRPr="00D525A1">
        <w:t>iónico</w:t>
      </w:r>
      <w:r w:rsidRPr="00D525A1">
        <w:t xml:space="preserve"> para </w:t>
      </w:r>
      <w:r w:rsidR="006D7200" w:rsidRPr="00D525A1">
        <w:t>discriminar entre co</w:t>
      </w:r>
      <w:r w:rsidR="007239ED">
        <w:t>-</w:t>
      </w:r>
      <w:r w:rsidR="006D7200" w:rsidRPr="00D525A1">
        <w:t xml:space="preserve">iones (iones con el mismo signo que la membrana) y contra-iones (iones de signo opuesto). </w:t>
      </w:r>
      <w:r w:rsidR="002F1FB8" w:rsidRPr="00D525A1">
        <w:t xml:space="preserve">Para su medida, se coloca la membrana en la celda esquematizada en la </w:t>
      </w:r>
      <w:r w:rsidR="00B14E15" w:rsidRPr="005D7804">
        <w:t>F</w:t>
      </w:r>
      <w:r w:rsidR="006D7200" w:rsidRPr="005D7804">
        <w:t xml:space="preserve">igura </w:t>
      </w:r>
      <w:r w:rsidR="00416909" w:rsidRPr="005D7804">
        <w:t>3</w:t>
      </w:r>
      <w:r w:rsidR="002F1FB8" w:rsidRPr="005D7804">
        <w:t>,</w:t>
      </w:r>
      <w:r w:rsidR="006D7200" w:rsidRPr="005D7804">
        <w:t xml:space="preserve"> separando dos disoluciones de NaCl de 0,1</w:t>
      </w:r>
      <w:r w:rsidR="00B14E15" w:rsidRPr="005D7804">
        <w:t xml:space="preserve"> </w:t>
      </w:r>
      <w:r w:rsidR="006D7200" w:rsidRPr="005D7804">
        <w:t>M y 0,5 M</w:t>
      </w:r>
      <w:r w:rsidR="00B14E15" w:rsidRPr="005D7804">
        <w:t xml:space="preserve">. El sistema se </w:t>
      </w:r>
      <w:r w:rsidR="0089048E" w:rsidRPr="005D7804">
        <w:t>equilibra</w:t>
      </w:r>
      <w:r w:rsidR="00B14E15" w:rsidRPr="005D7804">
        <w:t xml:space="preserve"> durante 30</w:t>
      </w:r>
      <w:r w:rsidR="002F1FB8" w:rsidRPr="005D7804">
        <w:t xml:space="preserve"> minutos</w:t>
      </w:r>
      <w:r w:rsidR="00B14E15" w:rsidRPr="005D7804">
        <w:t xml:space="preserve">, agitando ambas </w:t>
      </w:r>
      <w:r w:rsidR="0089048E" w:rsidRPr="005D7804">
        <w:t>disoluciones</w:t>
      </w:r>
      <w:r w:rsidR="00B14E15" w:rsidRPr="005D7804">
        <w:t>. La migración de los aniones desde la disolución concentrada a la diluida establece una diferencia de potencial químico a ambos lados de la membrana</w:t>
      </w:r>
      <w:r w:rsidR="0089048E" w:rsidRPr="005D7804">
        <w:t xml:space="preserve">. Esta diferencia de potencial se mide </w:t>
      </w:r>
      <w:r w:rsidR="00B14E15" w:rsidRPr="005D7804">
        <w:t xml:space="preserve">utilizando </w:t>
      </w:r>
      <w:r w:rsidR="000A711E" w:rsidRPr="005D7804">
        <w:t xml:space="preserve">los </w:t>
      </w:r>
      <w:r w:rsidR="00B14E15" w:rsidRPr="005D7804">
        <w:t>electrodos de referencia.</w:t>
      </w:r>
      <w:r w:rsidR="00054B1F" w:rsidRPr="005D7804">
        <w:t xml:space="preserve"> </w:t>
      </w:r>
      <w:r w:rsidR="0089048E" w:rsidRPr="005D7804">
        <w:t xml:space="preserve">La permselectividad se </w:t>
      </w:r>
      <w:r w:rsidR="002F1FB8" w:rsidRPr="005D7804">
        <w:t>calcula</w:t>
      </w:r>
      <w:r w:rsidR="0089048E" w:rsidRPr="005D7804">
        <w:t xml:space="preserve"> mediante la Ecuación </w:t>
      </w:r>
      <w:r w:rsidR="00200D4E" w:rsidRPr="005D7804">
        <w:t>3</w:t>
      </w:r>
      <w:r w:rsidR="0089048E" w:rsidRPr="005D7804">
        <w:t>,</w:t>
      </w:r>
      <w:r w:rsidR="0089048E" w:rsidRPr="00D525A1">
        <w:t xml:space="preserve"> como el ratio entre la diferencia de potencial experimental y la diferencia de potencial teórica para una </w:t>
      </w:r>
      <w:r w:rsidR="002F1FB8" w:rsidRPr="00D525A1">
        <w:t>membrana</w:t>
      </w:r>
      <w:r w:rsidR="0089048E" w:rsidRPr="00D525A1">
        <w:t xml:space="preserve"> 10</w:t>
      </w:r>
      <w:r w:rsidR="0089048E" w:rsidRPr="003679F5">
        <w:t xml:space="preserve">0% </w:t>
      </w:r>
      <w:r w:rsidR="002F1FB8" w:rsidRPr="00D13EC1">
        <w:t>pe</w:t>
      </w:r>
      <w:r w:rsidR="00D0746C" w:rsidRPr="00D13EC1">
        <w:t>rm</w:t>
      </w:r>
      <w:r w:rsidR="002F1FB8" w:rsidRPr="00D13EC1">
        <w:t>selectiva</w:t>
      </w:r>
      <w:r w:rsidR="00D0746C" w:rsidRPr="00D13EC1">
        <w:t xml:space="preserve"> </w:t>
      </w:r>
      <w:r w:rsidR="00D0746C" w:rsidRPr="00D13EC1">
        <w:fldChar w:fldCharType="begin" w:fldLock="1"/>
      </w:r>
      <w:r w:rsidR="00B23E37" w:rsidRPr="00D13EC1">
        <w:instrText>ADDIN CSL_CITATION {"citationItems":[{"id":"ITEM-1","itemData":{"DOI":"10.1016/j.memsci.2019.117423","ISSN":"03767388","abstract":"In the current study, the indirect recycling of discarded reverse osmosis modules as i) membrane support for the preparation of anion exchange membranes and ii) polypropylene components for the assembly of an electrodialysis stack have been investigated for the first time. In such a way, 51% of the discarded module could be recycled into an electrodialysis system composed of 54% of recycled components. Recycled anion exchange membranes have been prepared by casting and phase inversion methods using discarded reverse osmosis membranes, preconditioned as support. The influence of casting thickness and solvent evaporation time in membrane properties has been studied. Besides, a complete membrane characterization has been carried out (SEM, water content, ion exchange capacity, permselectivity, electrical resistance, diffusion coefficients and mechanical properties) to select the optimal membrane preparation conditions, obtaining recycled anion exchange membranes with a high permselectivity (87%, similar to the commercial membranes). Finally, the technical viability of the recycled membranes has been tested by brackish water desalination experiments in the assembled electrodialysis stack, achieving 84.5% of salt removal. This study could open an alternative within the recycling of discarded reverse osmosis membranes, avoiding their disposal in landfills and moving membrane technology into a circular economy.","author":[{"dropping-particle":"","family":"Lejarazu-Larrañaga","given":"Amaia","non-dropping-particle":"","parse-names":false,"suffix":""},{"dropping-particle":"","family":"Molina","given":"Serena","non-dropping-particle":"","parse-names":false,"suffix":""},{"dropping-particle":"","family":"Ortiz","given":"Juan Manuel","non-dropping-particle":"","parse-names":false,"suffix":""},{"dropping-particle":"","family":"Navarro","given":"Rodrigo","non-dropping-particle":"","parse-names":false,"suffix":""},{"dropping-particle":"","family":"García-Calvo","given":"Eloy","non-dropping-particle":"","parse-names":false,"suffix":""}],"container-title":"Journal of Membrane Science","id":"ITEM-1","issue":"July 2019","issued":{"date-parts":[["2020"]]},"page":"117423","publisher":"Elsevier B.V.","title":"Circular economy in membrane technology: Using end-of-life reverse osmosis modules for preparation of recycled anion exchange membranes and validation in electrodialysis","type":"article-journal","volume":"593"},"uris":["http://www.mendeley.com/documents/?uuid=cdce677d-9f2d-43f4-8ede-950eb6a709ab"]}],"mendeley":{"formattedCitation":"(Lejarazu-Larrañaga, Molina, Ortiz, Navarro, et al., 2020)","plainTextFormattedCitation":"(Lejarazu-Larrañaga, Molina, Ortiz, Navarro, et al., 2020)","previouslyFormattedCitation":"(Lejarazu-Larrañaga, Molina, Ortiz, Navarro, et al., 2020)"},"properties":{"noteIndex":0},"schema":"https://github.com/citation-style-language/schema/raw/master/csl-citation.json"}</w:instrText>
      </w:r>
      <w:r w:rsidR="00D0746C" w:rsidRPr="00D13EC1">
        <w:fldChar w:fldCharType="separate"/>
      </w:r>
      <w:r w:rsidR="00B23E37" w:rsidRPr="00D13EC1">
        <w:rPr>
          <w:noProof/>
        </w:rPr>
        <w:t>(Lejarazu-Larrañaga, Molina, Ortiz, Navarro, et al., 2020)</w:t>
      </w:r>
      <w:r w:rsidR="00D0746C" w:rsidRPr="00D13EC1">
        <w:fldChar w:fldCharType="end"/>
      </w:r>
      <w:r w:rsidR="002F1FB8" w:rsidRPr="00D13EC1">
        <w:t>.</w:t>
      </w:r>
    </w:p>
    <w:tbl>
      <w:tblPr>
        <w:tblStyle w:val="TableGrid"/>
        <w:tblW w:w="80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1842"/>
        <w:gridCol w:w="1701"/>
      </w:tblGrid>
      <w:tr w:rsidR="00CD70C5" w:rsidRPr="00D525A1" w14:paraId="50BFB73F" w14:textId="77777777" w:rsidTr="009257B7">
        <w:tc>
          <w:tcPr>
            <w:tcW w:w="4503" w:type="dxa"/>
          </w:tcPr>
          <w:p w14:paraId="26BED90C" w14:textId="22DE7962" w:rsidR="002F1FB8" w:rsidRPr="00D525A1" w:rsidRDefault="002F1FB8" w:rsidP="009257B7">
            <w:pPr>
              <w:spacing w:before="120" w:line="312" w:lineRule="auto"/>
              <w:ind w:firstLine="720"/>
              <w:jc w:val="both"/>
              <w:rPr>
                <w:color w:val="auto"/>
              </w:rPr>
            </w:pPr>
            <m:oMath>
              <m:r>
                <w:rPr>
                  <w:rFonts w:ascii="Cambria Math" w:hAnsi="Cambria Math"/>
                  <w:color w:val="auto"/>
                  <w:lang w:val="en-GB"/>
                </w:rPr>
                <m:t xml:space="preserve">α= </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ΔV</m:t>
                      </m:r>
                    </m:e>
                    <m:sub>
                      <m:r>
                        <w:rPr>
                          <w:rFonts w:ascii="Cambria Math" w:hAnsi="Cambria Math"/>
                          <w:color w:val="auto"/>
                          <w:lang w:val="en-GB"/>
                        </w:rPr>
                        <m:t>exp</m:t>
                      </m:r>
                    </m:sub>
                  </m:sSub>
                </m:num>
                <m:den>
                  <m:sSub>
                    <m:sSubPr>
                      <m:ctrlPr>
                        <w:rPr>
                          <w:rFonts w:ascii="Cambria Math" w:hAnsi="Cambria Math"/>
                          <w:i/>
                          <w:color w:val="auto"/>
                          <w:lang w:val="en-GB"/>
                        </w:rPr>
                      </m:ctrlPr>
                    </m:sSubPr>
                    <m:e>
                      <m:r>
                        <w:rPr>
                          <w:rFonts w:ascii="Cambria Math" w:hAnsi="Cambria Math"/>
                          <w:color w:val="auto"/>
                          <w:lang w:val="en-GB"/>
                        </w:rPr>
                        <m:t>ΔV</m:t>
                      </m:r>
                    </m:e>
                    <m:sub>
                      <m:r>
                        <w:rPr>
                          <w:rFonts w:ascii="Cambria Math" w:hAnsi="Cambria Math"/>
                          <w:color w:val="auto"/>
                          <w:lang w:val="en-GB"/>
                        </w:rPr>
                        <m:t>t</m:t>
                      </m:r>
                    </m:sub>
                  </m:sSub>
                </m:den>
              </m:f>
            </m:oMath>
            <w:r w:rsidRPr="00D525A1">
              <w:rPr>
                <w:color w:val="auto"/>
                <w:lang w:val="en-GB"/>
              </w:rPr>
              <w:t xml:space="preserve"> ·100%</w:t>
            </w:r>
          </w:p>
        </w:tc>
        <w:tc>
          <w:tcPr>
            <w:tcW w:w="1842" w:type="dxa"/>
          </w:tcPr>
          <w:p w14:paraId="6B8CC858" w14:textId="77777777" w:rsidR="002F1FB8" w:rsidRPr="00D525A1" w:rsidRDefault="002F1FB8" w:rsidP="009257B7">
            <w:pPr>
              <w:spacing w:before="120" w:line="312" w:lineRule="auto"/>
              <w:ind w:firstLine="720"/>
              <w:jc w:val="right"/>
              <w:rPr>
                <w:color w:val="auto"/>
              </w:rPr>
            </w:pPr>
          </w:p>
        </w:tc>
        <w:tc>
          <w:tcPr>
            <w:tcW w:w="1701" w:type="dxa"/>
          </w:tcPr>
          <w:p w14:paraId="02995E35" w14:textId="27559E25" w:rsidR="002F1FB8" w:rsidRPr="00D525A1" w:rsidRDefault="002F1FB8" w:rsidP="00200D4E">
            <w:pPr>
              <w:spacing w:before="120" w:line="312" w:lineRule="auto"/>
              <w:ind w:firstLine="720"/>
              <w:jc w:val="right"/>
              <w:rPr>
                <w:color w:val="auto"/>
              </w:rPr>
            </w:pPr>
            <w:r w:rsidRPr="00D525A1">
              <w:rPr>
                <w:color w:val="auto"/>
              </w:rPr>
              <w:t>(</w:t>
            </w:r>
            <w:r w:rsidR="00200D4E">
              <w:rPr>
                <w:color w:val="auto"/>
              </w:rPr>
              <w:t>3</w:t>
            </w:r>
            <w:r w:rsidRPr="00D525A1">
              <w:rPr>
                <w:color w:val="auto"/>
              </w:rPr>
              <w:t>)</w:t>
            </w:r>
          </w:p>
        </w:tc>
      </w:tr>
    </w:tbl>
    <w:p w14:paraId="3C07E1E4" w14:textId="1AA0C25E" w:rsidR="00C0656D" w:rsidRPr="00D525A1" w:rsidRDefault="00CD70C5" w:rsidP="009257B7">
      <w:pPr>
        <w:spacing w:before="120" w:line="312" w:lineRule="auto"/>
        <w:ind w:firstLine="720"/>
        <w:jc w:val="both"/>
        <w:rPr>
          <w:iCs/>
          <w:color w:val="auto"/>
        </w:rPr>
      </w:pPr>
      <w:r w:rsidRPr="00D525A1">
        <w:rPr>
          <w:color w:val="auto"/>
        </w:rPr>
        <w:t xml:space="preserve">donde, </w:t>
      </w:r>
      <w:r w:rsidRPr="00D525A1">
        <w:rPr>
          <w:rFonts w:ascii="Calibri" w:hAnsi="Calibri"/>
          <w:i/>
          <w:color w:val="auto"/>
        </w:rPr>
        <w:t>α</w:t>
      </w:r>
      <w:r w:rsidRPr="00D525A1">
        <w:rPr>
          <w:i/>
          <w:color w:val="auto"/>
        </w:rPr>
        <w:t xml:space="preserve"> </w:t>
      </w:r>
      <w:r w:rsidRPr="00D525A1">
        <w:rPr>
          <w:iCs/>
          <w:color w:val="auto"/>
        </w:rPr>
        <w:t>(%)</w:t>
      </w:r>
      <w:r w:rsidRPr="00D525A1">
        <w:rPr>
          <w:i/>
          <w:color w:val="auto"/>
        </w:rPr>
        <w:t xml:space="preserve"> </w:t>
      </w:r>
      <w:r w:rsidRPr="00D525A1">
        <w:rPr>
          <w:iCs/>
          <w:color w:val="auto"/>
        </w:rPr>
        <w:t xml:space="preserve">es la permselectividad, </w:t>
      </w:r>
      <w:r w:rsidRPr="00D525A1">
        <w:rPr>
          <w:rFonts w:ascii="Calibri" w:hAnsi="Calibri"/>
          <w:color w:val="auto"/>
        </w:rPr>
        <w:t>∆</w:t>
      </w:r>
      <w:proofErr w:type="spellStart"/>
      <w:r w:rsidRPr="00D525A1">
        <w:rPr>
          <w:i/>
          <w:color w:val="auto"/>
        </w:rPr>
        <w:t>V</w:t>
      </w:r>
      <w:r w:rsidRPr="00D525A1">
        <w:rPr>
          <w:i/>
          <w:color w:val="auto"/>
          <w:vertAlign w:val="subscript"/>
        </w:rPr>
        <w:t>exp</w:t>
      </w:r>
      <w:proofErr w:type="spellEnd"/>
      <w:r w:rsidRPr="00D525A1">
        <w:rPr>
          <w:i/>
          <w:color w:val="auto"/>
          <w:vertAlign w:val="subscript"/>
        </w:rPr>
        <w:t xml:space="preserve"> </w:t>
      </w:r>
      <w:r w:rsidRPr="00D525A1">
        <w:rPr>
          <w:iCs/>
          <w:color w:val="auto"/>
        </w:rPr>
        <w:t xml:space="preserve">es la diferencia de potencial experimental </w:t>
      </w:r>
      <w:r w:rsidRPr="00F50647">
        <w:rPr>
          <w:iCs/>
          <w:color w:val="auto"/>
        </w:rPr>
        <w:t xml:space="preserve">y </w:t>
      </w:r>
      <w:r w:rsidRPr="00F50647">
        <w:rPr>
          <w:rFonts w:ascii="Calibri" w:hAnsi="Calibri"/>
          <w:color w:val="auto"/>
        </w:rPr>
        <w:t>∆</w:t>
      </w:r>
      <w:proofErr w:type="spellStart"/>
      <w:r w:rsidRPr="00F50647">
        <w:rPr>
          <w:i/>
          <w:color w:val="auto"/>
        </w:rPr>
        <w:t>V</w:t>
      </w:r>
      <w:r w:rsidRPr="00F50647">
        <w:rPr>
          <w:i/>
          <w:color w:val="auto"/>
          <w:vertAlign w:val="subscript"/>
        </w:rPr>
        <w:t>t</w:t>
      </w:r>
      <w:proofErr w:type="spellEnd"/>
      <w:r w:rsidRPr="00F50647">
        <w:rPr>
          <w:iCs/>
          <w:color w:val="auto"/>
        </w:rPr>
        <w:t xml:space="preserve"> es la diferencia de potencial teórica para una membrana </w:t>
      </w:r>
      <w:r w:rsidRPr="00D525A1">
        <w:rPr>
          <w:iCs/>
          <w:color w:val="auto"/>
        </w:rPr>
        <w:t xml:space="preserve">100% permselectiva. </w:t>
      </w:r>
      <w:r w:rsidRPr="00D525A1">
        <w:rPr>
          <w:rFonts w:ascii="Calibri" w:hAnsi="Calibri"/>
          <w:color w:val="auto"/>
        </w:rPr>
        <w:t>∆</w:t>
      </w:r>
      <w:proofErr w:type="spellStart"/>
      <w:r w:rsidRPr="00D525A1">
        <w:rPr>
          <w:i/>
          <w:color w:val="auto"/>
        </w:rPr>
        <w:t>V</w:t>
      </w:r>
      <w:r w:rsidRPr="00D525A1">
        <w:rPr>
          <w:i/>
          <w:color w:val="auto"/>
          <w:vertAlign w:val="subscript"/>
        </w:rPr>
        <w:t>t</w:t>
      </w:r>
      <w:proofErr w:type="spellEnd"/>
      <w:r w:rsidRPr="00D525A1">
        <w:rPr>
          <w:iCs/>
          <w:color w:val="auto"/>
        </w:rPr>
        <w:t xml:space="preserve">, se calcula mediante la ecuación de </w:t>
      </w:r>
      <w:r w:rsidRPr="005D7804">
        <w:rPr>
          <w:color w:val="auto"/>
        </w:rPr>
        <w:t xml:space="preserve">Nernst (Ecuación </w:t>
      </w:r>
      <w:r w:rsidR="002F621E" w:rsidRPr="005D7804">
        <w:rPr>
          <w:color w:val="auto"/>
        </w:rPr>
        <w:t>4</w:t>
      </w:r>
      <w:r w:rsidRPr="005D7804">
        <w:rPr>
          <w:color w:val="auto"/>
        </w:rPr>
        <w:t>)</w:t>
      </w:r>
      <w:r w:rsidRPr="005D7804">
        <w:rPr>
          <w:iCs/>
          <w:color w:val="auto"/>
        </w:rPr>
        <w:t>.</w:t>
      </w:r>
    </w:p>
    <w:tbl>
      <w:tblPr>
        <w:tblW w:w="8046" w:type="dxa"/>
        <w:tblLayout w:type="fixed"/>
        <w:tblLook w:val="04A0" w:firstRow="1" w:lastRow="0" w:firstColumn="1" w:lastColumn="0" w:noHBand="0" w:noVBand="1"/>
      </w:tblPr>
      <w:tblGrid>
        <w:gridCol w:w="6629"/>
        <w:gridCol w:w="1417"/>
      </w:tblGrid>
      <w:tr w:rsidR="00CD70C5" w:rsidRPr="00D525A1" w14:paraId="4A31C2A8" w14:textId="77777777" w:rsidTr="004D58E0">
        <w:tc>
          <w:tcPr>
            <w:tcW w:w="6629" w:type="dxa"/>
            <w:shd w:val="clear" w:color="auto" w:fill="auto"/>
          </w:tcPr>
          <w:p w14:paraId="1571CE55" w14:textId="72BE3D64" w:rsidR="00C0656D" w:rsidRPr="00D525A1" w:rsidRDefault="00A078BD" w:rsidP="009257B7">
            <w:pPr>
              <w:spacing w:line="480" w:lineRule="auto"/>
              <w:ind w:left="720" w:firstLine="720"/>
              <w:jc w:val="both"/>
              <w:rPr>
                <w:rFonts w:cs="Times New Roman PS"/>
                <w:color w:val="auto"/>
              </w:rPr>
            </w:pPr>
            <m:oMathPara>
              <m:oMathParaPr>
                <m:jc m:val="left"/>
              </m:oMathParaPr>
              <m:oMath>
                <m:sSub>
                  <m:sSubPr>
                    <m:ctrlPr>
                      <w:rPr>
                        <w:rFonts w:ascii="Cambria Math" w:hAnsi="Cambria Math"/>
                        <w:i/>
                        <w:color w:val="auto"/>
                        <w:vertAlign w:val="subscript"/>
                      </w:rPr>
                    </m:ctrlPr>
                  </m:sSubPr>
                  <m:e>
                    <m:r>
                      <w:rPr>
                        <w:rFonts w:ascii="Cambria Math" w:hAnsi="Cambria Math"/>
                        <w:color w:val="auto"/>
                      </w:rPr>
                      <m:t>∆V</m:t>
                    </m:r>
                  </m:e>
                  <m:sub>
                    <m:r>
                      <w:rPr>
                        <w:rFonts w:ascii="Cambria Math" w:hAnsi="Cambria Math"/>
                        <w:color w:val="auto"/>
                        <w:vertAlign w:val="subscript"/>
                      </w:rPr>
                      <m:t>t</m:t>
                    </m:r>
                  </m:sub>
                </m:sSub>
                <m:r>
                  <w:rPr>
                    <w:rFonts w:ascii="Cambria Math" w:hAnsi="Cambria Math"/>
                    <w:color w:val="auto"/>
                    <w:lang w:val="en-GB"/>
                  </w:rPr>
                  <m:t>=</m:t>
                </m:r>
                <m:f>
                  <m:fPr>
                    <m:ctrlPr>
                      <w:rPr>
                        <w:rFonts w:ascii="Cambria Math" w:hAnsi="Cambria Math"/>
                        <w:i/>
                        <w:color w:val="auto"/>
                        <w:lang w:val="en-GB"/>
                      </w:rPr>
                    </m:ctrlPr>
                  </m:fPr>
                  <m:num>
                    <m:r>
                      <w:rPr>
                        <w:rFonts w:ascii="Cambria Math" w:hAnsi="Cambria Math"/>
                        <w:color w:val="auto"/>
                        <w:lang w:val="en-GB"/>
                      </w:rPr>
                      <m:t>R·T</m:t>
                    </m:r>
                  </m:num>
                  <m:den>
                    <m:r>
                      <w:rPr>
                        <w:rFonts w:ascii="Cambria Math" w:hAnsi="Cambria Math"/>
                        <w:color w:val="auto"/>
                        <w:lang w:val="en-GB"/>
                      </w:rPr>
                      <m:t>z·F</m:t>
                    </m:r>
                  </m:den>
                </m:f>
                <m:r>
                  <w:rPr>
                    <w:rFonts w:ascii="Cambria Math" w:hAnsi="Cambria Math"/>
                    <w:color w:val="auto"/>
                    <w:lang w:val="en-GB"/>
                  </w:rPr>
                  <m:t xml:space="preserve">· </m:t>
                </m:r>
                <m:d>
                  <m:dPr>
                    <m:ctrlPr>
                      <w:rPr>
                        <w:rFonts w:ascii="Cambria Math" w:hAnsi="Cambria Math"/>
                        <w:i/>
                        <w:color w:val="auto"/>
                        <w:lang w:val="en-GB"/>
                      </w:rPr>
                    </m:ctrlPr>
                  </m:dPr>
                  <m:e>
                    <m:r>
                      <w:rPr>
                        <w:rFonts w:ascii="Cambria Math" w:hAnsi="Cambria Math"/>
                        <w:color w:val="auto"/>
                        <w:lang w:val="en-GB"/>
                      </w:rPr>
                      <m:t>2</m:t>
                    </m:r>
                    <m:sSub>
                      <m:sSubPr>
                        <m:ctrlPr>
                          <w:rPr>
                            <w:rFonts w:ascii="Cambria Math" w:hAnsi="Cambria Math"/>
                            <w:i/>
                            <w:color w:val="auto"/>
                            <w:lang w:val="en-GB"/>
                          </w:rPr>
                        </m:ctrlPr>
                      </m:sSubPr>
                      <m:e>
                        <m:r>
                          <w:rPr>
                            <w:rFonts w:ascii="Cambria Math" w:hAnsi="Cambria Math"/>
                            <w:color w:val="auto"/>
                            <w:lang w:val="en-GB"/>
                          </w:rPr>
                          <m:t>t</m:t>
                        </m:r>
                      </m:e>
                      <m:sub>
                        <m:r>
                          <w:rPr>
                            <w:rFonts w:ascii="Cambria Math" w:hAnsi="Cambria Math"/>
                            <w:color w:val="auto"/>
                            <w:lang w:val="en-GB"/>
                          </w:rPr>
                          <m:t>i</m:t>
                        </m:r>
                      </m:sub>
                    </m:sSub>
                    <m:r>
                      <w:rPr>
                        <w:rFonts w:ascii="Cambria Math" w:hAnsi="Cambria Math"/>
                        <w:color w:val="auto"/>
                        <w:lang w:val="en-GB"/>
                      </w:rPr>
                      <m:t>-1</m:t>
                    </m:r>
                  </m:e>
                </m:d>
                <m:r>
                  <w:rPr>
                    <w:rFonts w:ascii="Cambria Math" w:hAnsi="Cambria Math"/>
                    <w:color w:val="auto"/>
                    <w:lang w:val="en-GB"/>
                  </w:rPr>
                  <m:t>·ln</m:t>
                </m:r>
                <m:f>
                  <m:fPr>
                    <m:ctrlPr>
                      <w:rPr>
                        <w:rFonts w:ascii="Cambria Math" w:hAnsi="Cambria Math"/>
                        <w:i/>
                        <w:color w:val="auto"/>
                        <w:lang w:val="en-GB"/>
                      </w:rPr>
                    </m:ctrlPr>
                  </m:fPr>
                  <m:num>
                    <m:sSub>
                      <m:sSubPr>
                        <m:ctrlPr>
                          <w:rPr>
                            <w:rFonts w:ascii="Cambria Math" w:hAnsi="Cambria Math"/>
                            <w:i/>
                            <w:color w:val="auto"/>
                            <w:lang w:val="en-GB"/>
                          </w:rPr>
                        </m:ctrlPr>
                      </m:sSubPr>
                      <m:e>
                        <m:r>
                          <w:rPr>
                            <w:rFonts w:ascii="Cambria Math" w:hAnsi="Cambria Math"/>
                            <w:color w:val="auto"/>
                            <w:lang w:val="en-GB"/>
                          </w:rPr>
                          <m:t>a</m:t>
                        </m:r>
                      </m:e>
                      <m:sub>
                        <m:r>
                          <w:rPr>
                            <w:rFonts w:ascii="Cambria Math" w:hAnsi="Cambria Math"/>
                            <w:color w:val="auto"/>
                            <w:lang w:val="en-GB"/>
                          </w:rPr>
                          <m:t>1</m:t>
                        </m:r>
                      </m:sub>
                    </m:sSub>
                  </m:num>
                  <m:den>
                    <m:sSub>
                      <m:sSubPr>
                        <m:ctrlPr>
                          <w:rPr>
                            <w:rFonts w:ascii="Cambria Math" w:hAnsi="Cambria Math"/>
                            <w:i/>
                            <w:color w:val="auto"/>
                            <w:lang w:val="en-GB"/>
                          </w:rPr>
                        </m:ctrlPr>
                      </m:sSubPr>
                      <m:e>
                        <m:r>
                          <w:rPr>
                            <w:rFonts w:ascii="Cambria Math" w:hAnsi="Cambria Math"/>
                            <w:color w:val="auto"/>
                            <w:lang w:val="en-GB"/>
                          </w:rPr>
                          <m:t>a</m:t>
                        </m:r>
                      </m:e>
                      <m:sub>
                        <m:r>
                          <w:rPr>
                            <w:rFonts w:ascii="Cambria Math" w:hAnsi="Cambria Math"/>
                            <w:color w:val="auto"/>
                            <w:lang w:val="en-GB"/>
                          </w:rPr>
                          <m:t>2</m:t>
                        </m:r>
                      </m:sub>
                    </m:sSub>
                  </m:den>
                </m:f>
              </m:oMath>
            </m:oMathPara>
          </w:p>
        </w:tc>
        <w:tc>
          <w:tcPr>
            <w:tcW w:w="1417" w:type="dxa"/>
            <w:shd w:val="clear" w:color="auto" w:fill="auto"/>
          </w:tcPr>
          <w:p w14:paraId="4A0558F0" w14:textId="244D4A38" w:rsidR="00C0656D" w:rsidRPr="00D525A1" w:rsidRDefault="00C0656D" w:rsidP="002F621E">
            <w:pPr>
              <w:pStyle w:val="Caption"/>
              <w:ind w:firstLine="720"/>
              <w:jc w:val="right"/>
              <w:rPr>
                <w:bCs/>
                <w:i w:val="0"/>
                <w:iCs w:val="0"/>
                <w:color w:val="auto"/>
              </w:rPr>
            </w:pPr>
            <w:r w:rsidRPr="00D525A1">
              <w:rPr>
                <w:bCs/>
                <w:i w:val="0"/>
                <w:iCs w:val="0"/>
                <w:color w:val="auto"/>
              </w:rPr>
              <w:t>(</w:t>
            </w:r>
            <w:r w:rsidR="002F621E">
              <w:rPr>
                <w:bCs/>
                <w:i w:val="0"/>
                <w:iCs w:val="0"/>
                <w:color w:val="auto"/>
              </w:rPr>
              <w:t>4</w:t>
            </w:r>
            <w:r w:rsidRPr="00D525A1">
              <w:rPr>
                <w:bCs/>
                <w:i w:val="0"/>
                <w:iCs w:val="0"/>
                <w:color w:val="auto"/>
              </w:rPr>
              <w:t>)</w:t>
            </w:r>
          </w:p>
        </w:tc>
      </w:tr>
    </w:tbl>
    <w:p w14:paraId="32A86DEB" w14:textId="07461E7E" w:rsidR="00352BB5" w:rsidRDefault="00CD70C5" w:rsidP="493B35FF">
      <w:pPr>
        <w:spacing w:before="120" w:line="312" w:lineRule="auto"/>
        <w:ind w:firstLine="720"/>
        <w:jc w:val="both"/>
        <w:rPr>
          <w:snapToGrid w:val="0"/>
          <w:color w:val="auto"/>
          <w:lang w:bidi="en-US"/>
        </w:rPr>
      </w:pPr>
      <w:r w:rsidRPr="00D525A1">
        <w:rPr>
          <w:snapToGrid w:val="0"/>
          <w:color w:val="auto"/>
          <w:lang w:bidi="en-US"/>
        </w:rPr>
        <w:lastRenderedPageBreak/>
        <w:t xml:space="preserve">donde, </w:t>
      </w:r>
      <w:r w:rsidRPr="493B35FF">
        <w:rPr>
          <w:i/>
          <w:iCs/>
          <w:snapToGrid w:val="0"/>
          <w:color w:val="auto"/>
          <w:lang w:bidi="en-US"/>
        </w:rPr>
        <w:t>R</w:t>
      </w:r>
      <w:r w:rsidRPr="00D525A1">
        <w:rPr>
          <w:snapToGrid w:val="0"/>
          <w:color w:val="auto"/>
          <w:lang w:bidi="en-US"/>
        </w:rPr>
        <w:t xml:space="preserve"> (J·mol</w:t>
      </w:r>
      <w:r w:rsidRPr="00D525A1">
        <w:rPr>
          <w:snapToGrid w:val="0"/>
          <w:color w:val="auto"/>
          <w:vertAlign w:val="superscript"/>
          <w:lang w:bidi="en-US"/>
        </w:rPr>
        <w:t>-1</w:t>
      </w:r>
      <w:r w:rsidRPr="00D525A1">
        <w:rPr>
          <w:snapToGrid w:val="0"/>
          <w:color w:val="auto"/>
          <w:lang w:bidi="en-US"/>
        </w:rPr>
        <w:t>·K</w:t>
      </w:r>
      <w:r w:rsidRPr="00D525A1">
        <w:rPr>
          <w:snapToGrid w:val="0"/>
          <w:color w:val="auto"/>
          <w:vertAlign w:val="superscript"/>
          <w:lang w:bidi="en-US"/>
        </w:rPr>
        <w:t>-1</w:t>
      </w:r>
      <w:r w:rsidRPr="00D525A1">
        <w:rPr>
          <w:snapToGrid w:val="0"/>
          <w:color w:val="auto"/>
          <w:lang w:bidi="en-US"/>
        </w:rPr>
        <w:t xml:space="preserve">) la constante de gases, </w:t>
      </w:r>
      <w:r w:rsidRPr="493B35FF">
        <w:rPr>
          <w:i/>
          <w:iCs/>
          <w:snapToGrid w:val="0"/>
          <w:color w:val="auto"/>
          <w:lang w:bidi="en-US"/>
        </w:rPr>
        <w:t>T</w:t>
      </w:r>
      <w:r w:rsidRPr="00D525A1">
        <w:rPr>
          <w:snapToGrid w:val="0"/>
          <w:color w:val="auto"/>
          <w:lang w:bidi="en-US"/>
        </w:rPr>
        <w:t xml:space="preserve"> (K) temperatura, </w:t>
      </w:r>
      <w:r w:rsidRPr="493B35FF">
        <w:rPr>
          <w:i/>
          <w:iCs/>
          <w:snapToGrid w:val="0"/>
          <w:color w:val="auto"/>
          <w:lang w:bidi="en-US"/>
        </w:rPr>
        <w:t>z</w:t>
      </w:r>
      <w:r w:rsidRPr="00D525A1">
        <w:rPr>
          <w:snapToGrid w:val="0"/>
          <w:color w:val="auto"/>
          <w:lang w:bidi="en-US"/>
        </w:rPr>
        <w:t xml:space="preserve"> la electrovalencia del electrolito utilizado, </w:t>
      </w:r>
      <w:r w:rsidRPr="493B35FF">
        <w:rPr>
          <w:i/>
          <w:iCs/>
          <w:snapToGrid w:val="0"/>
          <w:color w:val="auto"/>
          <w:lang w:bidi="en-US"/>
        </w:rPr>
        <w:t>F</w:t>
      </w:r>
      <w:r w:rsidRPr="00D525A1">
        <w:rPr>
          <w:snapToGrid w:val="0"/>
          <w:color w:val="auto"/>
          <w:lang w:bidi="en-US"/>
        </w:rPr>
        <w:t xml:space="preserve"> (C·mol</w:t>
      </w:r>
      <w:r w:rsidRPr="00D525A1">
        <w:rPr>
          <w:snapToGrid w:val="0"/>
          <w:color w:val="auto"/>
          <w:vertAlign w:val="superscript"/>
          <w:lang w:bidi="en-US"/>
        </w:rPr>
        <w:t>-1</w:t>
      </w:r>
      <w:r w:rsidRPr="00D525A1">
        <w:rPr>
          <w:snapToGrid w:val="0"/>
          <w:color w:val="auto"/>
          <w:lang w:bidi="en-US"/>
        </w:rPr>
        <w:t xml:space="preserve">) la constante de Faraday, </w:t>
      </w:r>
      <w:r w:rsidRPr="493B35FF">
        <w:rPr>
          <w:i/>
          <w:iCs/>
          <w:snapToGrid w:val="0"/>
          <w:color w:val="auto"/>
          <w:lang w:bidi="en-US"/>
        </w:rPr>
        <w:t>t</w:t>
      </w:r>
      <w:r w:rsidRPr="493B35FF">
        <w:rPr>
          <w:i/>
          <w:iCs/>
          <w:snapToGrid w:val="0"/>
          <w:color w:val="auto"/>
          <w:vertAlign w:val="subscript"/>
          <w:lang w:bidi="en-US"/>
        </w:rPr>
        <w:t>i</w:t>
      </w:r>
      <w:r w:rsidRPr="00D525A1">
        <w:rPr>
          <w:snapToGrid w:val="0"/>
          <w:color w:val="auto"/>
          <w:lang w:bidi="en-US"/>
        </w:rPr>
        <w:t xml:space="preserve"> el </w:t>
      </w:r>
      <w:r w:rsidR="00352BB5" w:rsidRPr="00D525A1">
        <w:rPr>
          <w:snapToGrid w:val="0"/>
          <w:color w:val="auto"/>
          <w:lang w:bidi="en-US"/>
        </w:rPr>
        <w:t>número</w:t>
      </w:r>
      <w:r w:rsidRPr="00D525A1">
        <w:rPr>
          <w:snapToGrid w:val="0"/>
          <w:color w:val="auto"/>
          <w:lang w:bidi="en-US"/>
        </w:rPr>
        <w:t xml:space="preserve"> de transporte para una membrana 100% permselectiva (</w:t>
      </w:r>
      <w:r w:rsidRPr="493B35FF">
        <w:rPr>
          <w:i/>
          <w:iCs/>
          <w:snapToGrid w:val="0"/>
          <w:color w:val="auto"/>
          <w:lang w:bidi="en-US"/>
        </w:rPr>
        <w:t>t</w:t>
      </w:r>
      <w:r w:rsidRPr="493B35FF">
        <w:rPr>
          <w:i/>
          <w:iCs/>
          <w:snapToGrid w:val="0"/>
          <w:color w:val="auto"/>
          <w:vertAlign w:val="subscript"/>
          <w:lang w:bidi="en-US"/>
        </w:rPr>
        <w:t>i</w:t>
      </w:r>
      <w:r w:rsidRPr="00D525A1">
        <w:rPr>
          <w:snapToGrid w:val="0"/>
          <w:color w:val="auto"/>
          <w:lang w:bidi="en-US"/>
        </w:rPr>
        <w:t xml:space="preserve">= 1), </w:t>
      </w:r>
      <w:r w:rsidRPr="493B35FF">
        <w:rPr>
          <w:i/>
          <w:iCs/>
          <w:snapToGrid w:val="0"/>
          <w:color w:val="auto"/>
          <w:lang w:bidi="en-US"/>
        </w:rPr>
        <w:t>a</w:t>
      </w:r>
      <w:r w:rsidRPr="493B35FF">
        <w:rPr>
          <w:i/>
          <w:iCs/>
          <w:snapToGrid w:val="0"/>
          <w:color w:val="auto"/>
          <w:vertAlign w:val="subscript"/>
          <w:lang w:bidi="en-US"/>
        </w:rPr>
        <w:t>1</w:t>
      </w:r>
      <w:r w:rsidRPr="00D525A1">
        <w:rPr>
          <w:snapToGrid w:val="0"/>
          <w:color w:val="auto"/>
          <w:lang w:bidi="en-US"/>
        </w:rPr>
        <w:t xml:space="preserve"> y </w:t>
      </w:r>
      <w:r w:rsidRPr="493B35FF">
        <w:rPr>
          <w:i/>
          <w:iCs/>
          <w:snapToGrid w:val="0"/>
          <w:color w:val="auto"/>
          <w:lang w:bidi="en-US"/>
        </w:rPr>
        <w:t>a</w:t>
      </w:r>
      <w:r w:rsidRPr="493B35FF">
        <w:rPr>
          <w:i/>
          <w:iCs/>
          <w:snapToGrid w:val="0"/>
          <w:color w:val="auto"/>
          <w:vertAlign w:val="subscript"/>
          <w:lang w:bidi="en-US"/>
        </w:rPr>
        <w:t>2</w:t>
      </w:r>
      <w:r w:rsidRPr="00D525A1">
        <w:rPr>
          <w:snapToGrid w:val="0"/>
          <w:color w:val="auto"/>
          <w:lang w:bidi="en-US"/>
        </w:rPr>
        <w:t xml:space="preserve"> son los coeficientes de actividad de las disoluciones de NaCl. </w:t>
      </w:r>
    </w:p>
    <w:p w14:paraId="64E7ECCB" w14:textId="60A32BF6" w:rsidR="004D58E0" w:rsidRDefault="004D58E0" w:rsidP="00352BB5">
      <w:pPr>
        <w:spacing w:line="312" w:lineRule="auto"/>
        <w:ind w:firstLine="720"/>
        <w:jc w:val="center"/>
        <w:rPr>
          <w:rFonts w:cs="FreeSans"/>
          <w:b/>
          <w:bCs/>
          <w:sz w:val="20"/>
          <w:szCs w:val="20"/>
          <w:highlight w:val="yellow"/>
        </w:rPr>
      </w:pPr>
      <w:r>
        <w:rPr>
          <w:noProof/>
        </w:rPr>
        <w:drawing>
          <wp:inline distT="0" distB="0" distL="0" distR="0" wp14:anchorId="5CF4A32B" wp14:editId="039A5532">
            <wp:extent cx="2894471" cy="1992702"/>
            <wp:effectExtent l="0" t="0" r="0" b="762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pic:nvPicPr>
                  <pic:blipFill>
                    <a:blip r:embed="rId12">
                      <a:extLst>
                        <a:ext uri="{28A0092B-C50C-407E-A947-70E740481C1C}">
                          <a14:useLocalDpi xmlns:a14="http://schemas.microsoft.com/office/drawing/2010/main" val="0"/>
                        </a:ext>
                      </a:extLst>
                    </a:blip>
                    <a:stretch>
                      <a:fillRect/>
                    </a:stretch>
                  </pic:blipFill>
                  <pic:spPr>
                    <a:xfrm>
                      <a:off x="0" y="0"/>
                      <a:ext cx="2894471" cy="1992702"/>
                    </a:xfrm>
                    <a:prstGeom prst="rect">
                      <a:avLst/>
                    </a:prstGeom>
                  </pic:spPr>
                </pic:pic>
              </a:graphicData>
            </a:graphic>
          </wp:inline>
        </w:drawing>
      </w:r>
    </w:p>
    <w:p w14:paraId="238AB0C3" w14:textId="0D2D620E" w:rsidR="00BF3013" w:rsidRDefault="00BF3013" w:rsidP="493B35FF">
      <w:pPr>
        <w:spacing w:line="312" w:lineRule="auto"/>
        <w:jc w:val="center"/>
        <w:rPr>
          <w:rFonts w:cs="FreeSans"/>
          <w:sz w:val="20"/>
          <w:szCs w:val="20"/>
        </w:rPr>
      </w:pPr>
      <w:r w:rsidRPr="493B35FF">
        <w:rPr>
          <w:rFonts w:cs="FreeSans"/>
          <w:b/>
          <w:bCs/>
          <w:sz w:val="20"/>
          <w:szCs w:val="20"/>
        </w:rPr>
        <w:t xml:space="preserve">Figura </w:t>
      </w:r>
      <w:r w:rsidR="00416909" w:rsidRPr="493B35FF">
        <w:rPr>
          <w:rFonts w:cs="FreeSans"/>
          <w:b/>
          <w:bCs/>
          <w:sz w:val="20"/>
          <w:szCs w:val="20"/>
        </w:rPr>
        <w:t>3</w:t>
      </w:r>
      <w:r w:rsidRPr="493B35FF">
        <w:rPr>
          <w:rFonts w:cs="FreeSans"/>
          <w:b/>
          <w:bCs/>
          <w:sz w:val="20"/>
          <w:szCs w:val="20"/>
        </w:rPr>
        <w:t>:</w:t>
      </w:r>
      <w:r w:rsidRPr="493B35FF">
        <w:rPr>
          <w:rFonts w:cs="FreeSans"/>
          <w:sz w:val="20"/>
          <w:szCs w:val="20"/>
        </w:rPr>
        <w:t xml:space="preserve"> </w:t>
      </w:r>
      <w:r w:rsidR="001A331E" w:rsidRPr="493B35FF">
        <w:rPr>
          <w:rFonts w:cs="FreeSans"/>
          <w:sz w:val="20"/>
          <w:szCs w:val="20"/>
        </w:rPr>
        <w:t>Dispositivo experimental</w:t>
      </w:r>
      <w:r w:rsidRPr="493B35FF">
        <w:rPr>
          <w:rFonts w:cs="FreeSans"/>
          <w:sz w:val="20"/>
          <w:szCs w:val="20"/>
        </w:rPr>
        <w:t xml:space="preserve"> de la celda de caracterización</w:t>
      </w:r>
      <w:r w:rsidR="006E0A83" w:rsidRPr="493B35FF">
        <w:rPr>
          <w:rFonts w:cs="FreeSans"/>
          <w:sz w:val="20"/>
          <w:szCs w:val="20"/>
        </w:rPr>
        <w:t>.</w:t>
      </w:r>
    </w:p>
    <w:p w14:paraId="6057F7BC" w14:textId="77777777" w:rsidR="00EB4D17" w:rsidRDefault="00B83D0E" w:rsidP="00D52DBA">
      <w:pPr>
        <w:pStyle w:val="08text"/>
        <w:spacing w:before="360" w:after="240" w:line="312" w:lineRule="auto"/>
        <w:rPr>
          <w:b/>
          <w:bCs/>
          <w:sz w:val="28"/>
          <w:szCs w:val="28"/>
          <w:lang w:val="es-ES"/>
        </w:rPr>
      </w:pPr>
      <w:r>
        <w:rPr>
          <w:b/>
          <w:bCs/>
          <w:sz w:val="28"/>
          <w:szCs w:val="28"/>
          <w:lang w:val="es-ES"/>
        </w:rPr>
        <w:t>3.- Resultados</w:t>
      </w:r>
    </w:p>
    <w:p w14:paraId="244105DA" w14:textId="57344CDD" w:rsidR="002F621E" w:rsidRPr="005D7804" w:rsidRDefault="00D525A1" w:rsidP="00D52DBA">
      <w:pPr>
        <w:spacing w:before="120" w:line="312" w:lineRule="auto"/>
        <w:ind w:firstLine="720"/>
        <w:jc w:val="both"/>
      </w:pPr>
      <w:r>
        <w:t xml:space="preserve">La Tabla </w:t>
      </w:r>
      <w:r w:rsidR="6C3FC694">
        <w:t>1</w:t>
      </w:r>
      <w:r>
        <w:t xml:space="preserve"> muestra los valores medios de espesor, resistencia eléctrica y permselectividad de los </w:t>
      </w:r>
      <w:r w:rsidR="009257B7">
        <w:t xml:space="preserve">diferentes </w:t>
      </w:r>
      <w:r>
        <w:t xml:space="preserve">soportes reciclados, antes de realizar </w:t>
      </w:r>
      <w:proofErr w:type="gramStart"/>
      <w:r>
        <w:t xml:space="preserve">el </w:t>
      </w:r>
      <w:r w:rsidRPr="493B35FF">
        <w:rPr>
          <w:i/>
          <w:iCs/>
        </w:rPr>
        <w:t>casting</w:t>
      </w:r>
      <w:proofErr w:type="gramEnd"/>
      <w:r>
        <w:t>.</w:t>
      </w:r>
      <w:r w:rsidR="009257B7">
        <w:t xml:space="preserve"> </w:t>
      </w:r>
    </w:p>
    <w:p w14:paraId="30AE62C7" w14:textId="458BBDAD" w:rsidR="002F621E" w:rsidRPr="006A5673" w:rsidRDefault="002F621E" w:rsidP="493B35FF">
      <w:pPr>
        <w:pStyle w:val="Caption"/>
        <w:keepNext/>
        <w:spacing w:before="0" w:after="0" w:line="312" w:lineRule="auto"/>
        <w:jc w:val="both"/>
        <w:rPr>
          <w:i w:val="0"/>
          <w:iCs w:val="0"/>
        </w:rPr>
      </w:pPr>
      <w:r w:rsidRPr="493B35FF">
        <w:rPr>
          <w:b/>
          <w:bCs/>
          <w:i w:val="0"/>
          <w:iCs w:val="0"/>
          <w:sz w:val="20"/>
          <w:szCs w:val="20"/>
        </w:rPr>
        <w:t xml:space="preserve">Tabla </w:t>
      </w:r>
      <w:r w:rsidR="79F64B7F" w:rsidRPr="493B35FF">
        <w:rPr>
          <w:b/>
          <w:bCs/>
          <w:i w:val="0"/>
          <w:iCs w:val="0"/>
          <w:sz w:val="20"/>
          <w:szCs w:val="20"/>
        </w:rPr>
        <w:t>1</w:t>
      </w:r>
      <w:r w:rsidRPr="493B35FF">
        <w:rPr>
          <w:b/>
          <w:bCs/>
          <w:i w:val="0"/>
          <w:iCs w:val="0"/>
          <w:sz w:val="20"/>
          <w:szCs w:val="20"/>
        </w:rPr>
        <w:t xml:space="preserve">. </w:t>
      </w:r>
      <w:r w:rsidRPr="493B35FF">
        <w:rPr>
          <w:i w:val="0"/>
          <w:iCs w:val="0"/>
          <w:sz w:val="20"/>
          <w:szCs w:val="20"/>
        </w:rPr>
        <w:t xml:space="preserve">Espesor, resistencia eléctrica y permselectividad de los soportes reciclados (antes </w:t>
      </w:r>
      <w:proofErr w:type="gramStart"/>
      <w:r w:rsidRPr="493B35FF">
        <w:rPr>
          <w:i w:val="0"/>
          <w:iCs w:val="0"/>
          <w:sz w:val="20"/>
          <w:szCs w:val="20"/>
        </w:rPr>
        <w:t xml:space="preserve">del </w:t>
      </w:r>
      <w:r w:rsidRPr="493B35FF">
        <w:rPr>
          <w:sz w:val="20"/>
          <w:szCs w:val="20"/>
        </w:rPr>
        <w:t>casting</w:t>
      </w:r>
      <w:proofErr w:type="gramEnd"/>
      <w:r w:rsidRPr="493B35FF">
        <w:rPr>
          <w:i w:val="0"/>
          <w:iCs w:val="0"/>
          <w:sz w:val="20"/>
          <w:szCs w:val="20"/>
        </w:rPr>
        <w:t>).</w:t>
      </w:r>
    </w:p>
    <w:tbl>
      <w:tblPr>
        <w:tblStyle w:val="TableGrid"/>
        <w:tblW w:w="8151" w:type="dxa"/>
        <w:tblLook w:val="04A0" w:firstRow="1" w:lastRow="0" w:firstColumn="1" w:lastColumn="0" w:noHBand="0" w:noVBand="1"/>
      </w:tblPr>
      <w:tblGrid>
        <w:gridCol w:w="2802"/>
        <w:gridCol w:w="1332"/>
        <w:gridCol w:w="2041"/>
        <w:gridCol w:w="1976"/>
      </w:tblGrid>
      <w:tr w:rsidR="002F621E" w14:paraId="1A23E391" w14:textId="77777777" w:rsidTr="00B23E37">
        <w:tc>
          <w:tcPr>
            <w:tcW w:w="2802" w:type="dxa"/>
            <w:vAlign w:val="center"/>
          </w:tcPr>
          <w:p w14:paraId="2D102816" w14:textId="77777777" w:rsidR="002F621E" w:rsidRDefault="002F621E" w:rsidP="00D52DBA">
            <w:pPr>
              <w:keepNext/>
              <w:jc w:val="center"/>
            </w:pPr>
            <w:r w:rsidRPr="009257B7">
              <w:rPr>
                <w:b/>
                <w:bCs/>
                <w:color w:val="000000"/>
                <w:lang w:eastAsia="es-ES"/>
              </w:rPr>
              <w:t>Material soporte</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FDEABE2" w14:textId="77777777" w:rsidR="002F621E" w:rsidRDefault="002F621E" w:rsidP="00D52DBA">
            <w:pPr>
              <w:keepNext/>
              <w:jc w:val="center"/>
            </w:pPr>
            <w:r w:rsidRPr="009257B7">
              <w:rPr>
                <w:b/>
                <w:bCs/>
                <w:color w:val="000000"/>
                <w:lang w:eastAsia="es-ES"/>
              </w:rPr>
              <w:t>Espesor (</w:t>
            </w:r>
            <w:r w:rsidRPr="009257B7">
              <w:rPr>
                <w:rFonts w:ascii="Symbol" w:hAnsi="Symbol"/>
                <w:b/>
                <w:bCs/>
                <w:color w:val="000000"/>
                <w:lang w:eastAsia="es-ES"/>
              </w:rPr>
              <w:t></w:t>
            </w:r>
            <w:r w:rsidRPr="009257B7">
              <w:rPr>
                <w:b/>
                <w:bCs/>
                <w:color w:val="000000"/>
                <w:lang w:eastAsia="es-ES"/>
              </w:rPr>
              <w:t>m)</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7C74D969" w14:textId="77777777" w:rsidR="002F621E" w:rsidRDefault="002F621E" w:rsidP="00D52DBA">
            <w:pPr>
              <w:keepNext/>
              <w:jc w:val="center"/>
            </w:pPr>
            <w:r w:rsidRPr="009257B7">
              <w:rPr>
                <w:b/>
                <w:bCs/>
                <w:color w:val="000000"/>
                <w:lang w:eastAsia="es-ES"/>
              </w:rPr>
              <w:t>Resistencia eléctrica (Ω·cm</w:t>
            </w:r>
            <w:r w:rsidRPr="009257B7">
              <w:rPr>
                <w:b/>
                <w:bCs/>
                <w:color w:val="000000"/>
                <w:vertAlign w:val="superscript"/>
                <w:lang w:eastAsia="es-ES"/>
              </w:rPr>
              <w:t>2</w:t>
            </w:r>
            <w:r w:rsidRPr="009257B7">
              <w:rPr>
                <w:b/>
                <w:bCs/>
                <w:color w:val="000000"/>
                <w:lang w:eastAsia="es-ES"/>
              </w:rPr>
              <w:t>)</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29C588F5" w14:textId="77777777" w:rsidR="002F621E" w:rsidRDefault="002F621E" w:rsidP="00D52DBA">
            <w:pPr>
              <w:keepNext/>
              <w:jc w:val="center"/>
            </w:pPr>
            <w:r w:rsidRPr="009257B7">
              <w:rPr>
                <w:b/>
                <w:bCs/>
                <w:color w:val="000000"/>
                <w:lang w:eastAsia="es-ES"/>
              </w:rPr>
              <w:t>Permselectividad (%)</w:t>
            </w:r>
          </w:p>
        </w:tc>
      </w:tr>
      <w:tr w:rsidR="002F621E" w14:paraId="130F054F" w14:textId="77777777" w:rsidTr="00B23E37">
        <w:tc>
          <w:tcPr>
            <w:tcW w:w="2802" w:type="dxa"/>
            <w:vAlign w:val="center"/>
          </w:tcPr>
          <w:p w14:paraId="6DDDECDE" w14:textId="77777777" w:rsidR="002F621E" w:rsidRDefault="002F621E" w:rsidP="00D52DBA">
            <w:pPr>
              <w:keepNext/>
              <w:jc w:val="both"/>
            </w:pPr>
            <w:r w:rsidRPr="009257B7">
              <w:rPr>
                <w:color w:val="000000"/>
                <w:lang w:eastAsia="es-ES"/>
              </w:rPr>
              <w:t>Espaciador del permeado</w:t>
            </w:r>
          </w:p>
        </w:tc>
        <w:tc>
          <w:tcPr>
            <w:tcW w:w="1332" w:type="dxa"/>
          </w:tcPr>
          <w:p w14:paraId="75D4ED84" w14:textId="707E7A74" w:rsidR="002F621E" w:rsidRPr="008E7B14" w:rsidRDefault="008E7B14" w:rsidP="00D52DBA">
            <w:pPr>
              <w:keepNext/>
              <w:jc w:val="center"/>
            </w:pPr>
            <w:r w:rsidRPr="008E7B14">
              <w:t>245 ± 2</w:t>
            </w:r>
          </w:p>
        </w:tc>
        <w:tc>
          <w:tcPr>
            <w:tcW w:w="2041" w:type="dxa"/>
          </w:tcPr>
          <w:p w14:paraId="04A8DE50" w14:textId="6C15BCCE" w:rsidR="002F621E" w:rsidRDefault="005E0A44" w:rsidP="00D52DBA">
            <w:pPr>
              <w:keepNext/>
              <w:jc w:val="center"/>
            </w:pPr>
            <w:r>
              <w:t>0 ± 0</w:t>
            </w:r>
          </w:p>
        </w:tc>
        <w:tc>
          <w:tcPr>
            <w:tcW w:w="1976" w:type="dxa"/>
          </w:tcPr>
          <w:p w14:paraId="5D655231" w14:textId="6DB1BE00" w:rsidR="002F621E" w:rsidRDefault="005E0A44" w:rsidP="00D52DBA">
            <w:pPr>
              <w:keepNext/>
              <w:jc w:val="center"/>
            </w:pPr>
            <w:r>
              <w:t>0 ± 0</w:t>
            </w:r>
          </w:p>
        </w:tc>
      </w:tr>
      <w:tr w:rsidR="002F621E" w14:paraId="2C0712C4" w14:textId="77777777" w:rsidTr="00B23E37">
        <w:tc>
          <w:tcPr>
            <w:tcW w:w="2802" w:type="dxa"/>
            <w:vAlign w:val="center"/>
          </w:tcPr>
          <w:p w14:paraId="424B6391" w14:textId="77777777" w:rsidR="002F621E" w:rsidRDefault="002F621E" w:rsidP="00D52DBA">
            <w:pPr>
              <w:keepNext/>
              <w:jc w:val="both"/>
            </w:pPr>
            <w:r w:rsidRPr="009257B7">
              <w:rPr>
                <w:color w:val="000000"/>
                <w:lang w:eastAsia="es-ES"/>
              </w:rPr>
              <w:t>Poliéster</w:t>
            </w:r>
          </w:p>
        </w:tc>
        <w:tc>
          <w:tcPr>
            <w:tcW w:w="1332" w:type="dxa"/>
          </w:tcPr>
          <w:p w14:paraId="61379089" w14:textId="7084E777" w:rsidR="002F621E" w:rsidRPr="008E7B14" w:rsidRDefault="008E7B14" w:rsidP="00D52DBA">
            <w:pPr>
              <w:keepNext/>
              <w:jc w:val="center"/>
            </w:pPr>
            <w:r>
              <w:t>79 ± 2</w:t>
            </w:r>
          </w:p>
        </w:tc>
        <w:tc>
          <w:tcPr>
            <w:tcW w:w="2041" w:type="dxa"/>
          </w:tcPr>
          <w:p w14:paraId="2BB0AFF6" w14:textId="77777777" w:rsidR="002F621E" w:rsidRDefault="002F621E" w:rsidP="00D52DBA">
            <w:pPr>
              <w:keepNext/>
              <w:jc w:val="center"/>
            </w:pPr>
            <w:r>
              <w:t>7 ± 0</w:t>
            </w:r>
          </w:p>
        </w:tc>
        <w:tc>
          <w:tcPr>
            <w:tcW w:w="1976" w:type="dxa"/>
          </w:tcPr>
          <w:p w14:paraId="345B4231" w14:textId="77777777" w:rsidR="002F621E" w:rsidRDefault="002F621E" w:rsidP="00D52DBA">
            <w:pPr>
              <w:keepNext/>
              <w:jc w:val="center"/>
            </w:pPr>
            <w:r>
              <w:t>0 ± 0</w:t>
            </w:r>
          </w:p>
        </w:tc>
      </w:tr>
      <w:tr w:rsidR="002F621E" w14:paraId="4CE506E5" w14:textId="77777777" w:rsidTr="00B23E37">
        <w:tc>
          <w:tcPr>
            <w:tcW w:w="2802" w:type="dxa"/>
            <w:vAlign w:val="center"/>
          </w:tcPr>
          <w:p w14:paraId="2667AF30" w14:textId="77777777" w:rsidR="002F621E" w:rsidRDefault="002F621E" w:rsidP="00D52DBA">
            <w:pPr>
              <w:keepNext/>
              <w:jc w:val="both"/>
            </w:pPr>
            <w:r w:rsidRPr="009257B7">
              <w:rPr>
                <w:color w:val="000000"/>
                <w:lang w:eastAsia="es-ES"/>
              </w:rPr>
              <w:t>Membrana reciclada a NF</w:t>
            </w:r>
          </w:p>
        </w:tc>
        <w:tc>
          <w:tcPr>
            <w:tcW w:w="1332" w:type="dxa"/>
          </w:tcPr>
          <w:p w14:paraId="72B890F0" w14:textId="77777777" w:rsidR="002F621E" w:rsidRPr="008E7B14" w:rsidRDefault="002F621E" w:rsidP="00D52DBA">
            <w:pPr>
              <w:keepNext/>
              <w:jc w:val="center"/>
            </w:pPr>
            <w:r w:rsidRPr="008E7B14">
              <w:t>123 ± 1</w:t>
            </w:r>
          </w:p>
        </w:tc>
        <w:tc>
          <w:tcPr>
            <w:tcW w:w="2041" w:type="dxa"/>
          </w:tcPr>
          <w:p w14:paraId="2D9D327C" w14:textId="77777777" w:rsidR="002F621E" w:rsidRDefault="002F621E" w:rsidP="00D52DBA">
            <w:pPr>
              <w:keepNext/>
              <w:jc w:val="center"/>
            </w:pPr>
            <w:r>
              <w:t>10 ± 2</w:t>
            </w:r>
          </w:p>
        </w:tc>
        <w:tc>
          <w:tcPr>
            <w:tcW w:w="1976" w:type="dxa"/>
          </w:tcPr>
          <w:p w14:paraId="02A69D16" w14:textId="77777777" w:rsidR="002F621E" w:rsidRDefault="002F621E" w:rsidP="00D52DBA">
            <w:pPr>
              <w:keepNext/>
              <w:jc w:val="center"/>
            </w:pPr>
            <w:r>
              <w:t>11 ± 3</w:t>
            </w:r>
          </w:p>
        </w:tc>
      </w:tr>
      <w:tr w:rsidR="002F621E" w14:paraId="7D4D9D4F" w14:textId="77777777" w:rsidTr="00B23E37">
        <w:tc>
          <w:tcPr>
            <w:tcW w:w="2802" w:type="dxa"/>
            <w:vAlign w:val="center"/>
          </w:tcPr>
          <w:p w14:paraId="094657FD" w14:textId="77777777" w:rsidR="002F621E" w:rsidRDefault="002F621E" w:rsidP="00D52DBA">
            <w:pPr>
              <w:keepNext/>
              <w:jc w:val="both"/>
            </w:pPr>
            <w:r w:rsidRPr="009257B7">
              <w:rPr>
                <w:color w:val="000000"/>
                <w:lang w:eastAsia="es-ES"/>
              </w:rPr>
              <w:t>Membrana reciclada a UF</w:t>
            </w:r>
          </w:p>
        </w:tc>
        <w:tc>
          <w:tcPr>
            <w:tcW w:w="1332" w:type="dxa"/>
          </w:tcPr>
          <w:p w14:paraId="6AAA3264" w14:textId="77777777" w:rsidR="002F621E" w:rsidRDefault="002F621E" w:rsidP="00D52DBA">
            <w:pPr>
              <w:keepNext/>
              <w:jc w:val="center"/>
            </w:pPr>
            <w:r>
              <w:t>126 ± 1</w:t>
            </w:r>
          </w:p>
        </w:tc>
        <w:tc>
          <w:tcPr>
            <w:tcW w:w="2041" w:type="dxa"/>
          </w:tcPr>
          <w:p w14:paraId="1E5C09FC" w14:textId="77777777" w:rsidR="002F621E" w:rsidRDefault="002F621E" w:rsidP="00D52DBA">
            <w:pPr>
              <w:keepNext/>
              <w:jc w:val="center"/>
            </w:pPr>
            <w:r>
              <w:t>17± 2</w:t>
            </w:r>
          </w:p>
        </w:tc>
        <w:tc>
          <w:tcPr>
            <w:tcW w:w="1976" w:type="dxa"/>
          </w:tcPr>
          <w:p w14:paraId="4BF7D25A" w14:textId="77777777" w:rsidR="002F621E" w:rsidRDefault="002F621E" w:rsidP="00D52DBA">
            <w:pPr>
              <w:keepNext/>
              <w:jc w:val="center"/>
            </w:pPr>
            <w:r>
              <w:t>0 ± 0</w:t>
            </w:r>
          </w:p>
        </w:tc>
      </w:tr>
    </w:tbl>
    <w:p w14:paraId="1EA8BE2A" w14:textId="72598FF7" w:rsidR="00CA77B7" w:rsidRPr="005D7804" w:rsidRDefault="000C2464" w:rsidP="006A65E8">
      <w:pPr>
        <w:spacing w:before="120" w:line="312" w:lineRule="auto"/>
        <w:ind w:firstLine="720"/>
        <w:jc w:val="both"/>
      </w:pPr>
      <w:r w:rsidRPr="000C2464">
        <w:t xml:space="preserve">En el caso del espaciador del permeado, a pesar de su grosor, la amplia apertura de su maya permite el flujo del electrolito de un compartimento al otro, lo que hace que su resistencia eléctrica sea igual a 0. </w:t>
      </w:r>
      <w:r w:rsidR="009257B7" w:rsidRPr="000C2464">
        <w:t xml:space="preserve">Por otra parte, la resistencia eléctrica del </w:t>
      </w:r>
      <w:r w:rsidR="00690600" w:rsidRPr="000C2464">
        <w:t xml:space="preserve">del soporte de poliéster </w:t>
      </w:r>
      <w:r w:rsidRPr="000C2464">
        <w:t>es</w:t>
      </w:r>
      <w:r w:rsidR="009257B7" w:rsidRPr="000C2464">
        <w:t xml:space="preserve"> menor que </w:t>
      </w:r>
      <w:r w:rsidR="007139CB" w:rsidRPr="000C2464">
        <w:t>la</w:t>
      </w:r>
      <w:r w:rsidR="009257B7" w:rsidRPr="000C2464">
        <w:t xml:space="preserve"> de las membrana</w:t>
      </w:r>
      <w:r w:rsidR="007139CB" w:rsidRPr="000C2464">
        <w:t>s</w:t>
      </w:r>
      <w:r w:rsidR="009257B7" w:rsidRPr="000C2464">
        <w:t xml:space="preserve"> recicladas de NF y UF</w:t>
      </w:r>
      <w:r w:rsidRPr="000C2464">
        <w:t>, probablemente debido a que este soporte</w:t>
      </w:r>
      <w:r w:rsidR="00690600" w:rsidRPr="000C2464">
        <w:t xml:space="preserve"> presenta mayor porosidad</w:t>
      </w:r>
      <w:r w:rsidR="00A75B57" w:rsidRPr="000C2464">
        <w:t xml:space="preserve">, lo que permite una mayor conductividad eléctrica </w:t>
      </w:r>
      <w:r w:rsidR="00A75B57" w:rsidRPr="000C2464">
        <w:fldChar w:fldCharType="begin" w:fldLock="1"/>
      </w:r>
      <w:r w:rsidR="00B51FCD" w:rsidRPr="000C2464">
        <w:instrText>ADDIN CSL_CITATION {"citationItems":[{"id":"ITEM-1","itemData":{"DOI":"10.1016/j.memsci.2012.01.038","ISBN":"0376-7388","ISSN":"03767388","abstract":"Heterogeneous anion-selective membranes were prepared by blending anion-exchange particles, linear polyethylene, low density polyethylene or poly(ethylene-co-methacrylic acid) and a water-soluble additive poly(ethylene glycol-ran-propylene glycol) at 140 °C with subsequent compression moulding into the shape of a flat membrane. SEM micrographs showed that the membranes based on linear polyethylene or low density polyethylene had voids around the anion-exchange particles, while the membranes comprising poly(ethylene-co-methacrylic acid) had the particles completely encapsulated with the matrix polymer. The membranes with the voids around the particles were ion conductive, whereas the membranes with encapsulated particles were nonconductive. The presence of the water-soluble additive in the system resulted after extraction with water in a microporous membrane skin and in a considerable increase in conductivity. The conductivity of the membrane consisting (before extraction) of 66. wt.% anion-exchange particles, 3.4. wt.% water-soluble additive and 30.6. wt.% linear polyethylene was (70 °C) 7.1. S/m, whereas the conductivity of a similar membrane prepared without the water-soluble additive was only 3.5. S/m. © 2012 Elsevier B.V.","author":[{"dropping-particle":"","family":"Schauer","given":"Jan","non-dropping-particle":"","parse-names":false,"suffix":""},{"dropping-particle":"","family":"Hnát","given":"Jaromír","non-dropping-particle":"","parse-names":false,"suffix":""},{"dropping-particle":"","family":"Brožová","given":"Libuše","non-dropping-particle":"","parse-names":false,"suffix":""},{"dropping-particle":"","family":"Žitka","given":"Jan","non-dropping-particle":"","parse-names":false,"suffix":""},{"dropping-particle":"","family":"Bouzek","given":"Karel","non-dropping-particle":"","parse-names":false,"suffix":""}],"container-title":"Journal of Membrane Science","id":"ITEM-1","issued":{"date-parts":[["2012"]]},"page":"83-88","title":"Heterogeneous anion-selective membranes: Influence of a water-soluble component in the membrane on the morphology and ionic conductivity","type":"article-journal","volume":"401-402"},"uris":["http://www.mendeley.com/documents/?uuid=f3e201cf-3eed-4727-a844-498a0848e5c0"]}],"mendeley":{"formattedCitation":"(Schauer et al., 2012)","plainTextFormattedCitation":"(Schauer et al., 2012)","previouslyFormattedCitation":"(Schauer et al., 2012)"},"properties":{"noteIndex":0},"schema":"https://github.com/citation-style-language/schema/raw/master/csl-citation.json"}</w:instrText>
      </w:r>
      <w:r w:rsidR="00A75B57" w:rsidRPr="000C2464">
        <w:fldChar w:fldCharType="separate"/>
      </w:r>
      <w:r w:rsidR="00A75B57" w:rsidRPr="000C2464">
        <w:rPr>
          <w:noProof/>
        </w:rPr>
        <w:t>(Schauer et al., 2012)</w:t>
      </w:r>
      <w:r w:rsidR="00A75B57" w:rsidRPr="000C2464">
        <w:fldChar w:fldCharType="end"/>
      </w:r>
      <w:r w:rsidR="00A75B57" w:rsidRPr="000C2464">
        <w:t>.</w:t>
      </w:r>
      <w:r w:rsidR="00331C88" w:rsidRPr="000C2464">
        <w:t xml:space="preserve"> </w:t>
      </w:r>
      <w:r w:rsidR="004175FE" w:rsidRPr="000C2464">
        <w:t>Ninguno</w:t>
      </w:r>
      <w:r w:rsidR="00331C88" w:rsidRPr="000C2464">
        <w:t xml:space="preserve"> de</w:t>
      </w:r>
      <w:r w:rsidR="00331C88" w:rsidRPr="005D7804">
        <w:t xml:space="preserve"> </w:t>
      </w:r>
      <w:r w:rsidR="00331C88" w:rsidRPr="005D7804">
        <w:lastRenderedPageBreak/>
        <w:t xml:space="preserve">los soportes presenta </w:t>
      </w:r>
      <w:r w:rsidR="004175FE" w:rsidRPr="005D7804">
        <w:t>permselectividad</w:t>
      </w:r>
      <w:r w:rsidR="00331C88" w:rsidRPr="005D7804">
        <w:t xml:space="preserve"> a excepción de la </w:t>
      </w:r>
      <w:r w:rsidR="004175FE" w:rsidRPr="005D7804">
        <w:t>membrana</w:t>
      </w:r>
      <w:r w:rsidR="00331C88" w:rsidRPr="005D7804">
        <w:t xml:space="preserve"> de NF que presenta una ligera capacidad de </w:t>
      </w:r>
      <w:r w:rsidR="004175FE" w:rsidRPr="005D7804">
        <w:t>rechazo</w:t>
      </w:r>
      <w:r w:rsidR="00331C88" w:rsidRPr="005D7804">
        <w:t xml:space="preserve"> de aniones, probablemente debido a la presencia </w:t>
      </w:r>
      <w:r w:rsidR="007139CB" w:rsidRPr="005D7804">
        <w:t xml:space="preserve">remanente de </w:t>
      </w:r>
      <w:r w:rsidR="00331C88" w:rsidRPr="005D7804">
        <w:t>poliamida.</w:t>
      </w:r>
    </w:p>
    <w:p w14:paraId="7EB57742" w14:textId="2444CFB2" w:rsidR="002F621E" w:rsidRDefault="00D525A1" w:rsidP="009257B7">
      <w:pPr>
        <w:spacing w:before="120" w:line="312" w:lineRule="auto"/>
        <w:ind w:firstLine="720"/>
        <w:jc w:val="both"/>
      </w:pPr>
      <w:r>
        <w:t xml:space="preserve">La </w:t>
      </w:r>
      <w:r w:rsidR="007139CB">
        <w:t>T</w:t>
      </w:r>
      <w:r>
        <w:t xml:space="preserve">abla </w:t>
      </w:r>
      <w:r w:rsidR="20D5B902">
        <w:t>2</w:t>
      </w:r>
      <w:r>
        <w:t xml:space="preserve"> muestra los valores de espesor, resistencia eléctrica y permselectividad de las membranas de intercambio aniónico </w:t>
      </w:r>
      <w:r w:rsidR="007139CB">
        <w:t>preparadas utilizando los diferentes soportes reciclados</w:t>
      </w:r>
      <w:r>
        <w:t xml:space="preserve">. </w:t>
      </w:r>
    </w:p>
    <w:p w14:paraId="0D35B635" w14:textId="2A5F777B" w:rsidR="002F621E" w:rsidRPr="008D747A" w:rsidRDefault="002F621E" w:rsidP="493B35FF">
      <w:pPr>
        <w:keepNext/>
        <w:keepLines/>
        <w:spacing w:line="312" w:lineRule="auto"/>
        <w:rPr>
          <w:i/>
          <w:iCs/>
        </w:rPr>
      </w:pPr>
      <w:r w:rsidRPr="493B35FF">
        <w:rPr>
          <w:b/>
          <w:bCs/>
          <w:sz w:val="20"/>
          <w:szCs w:val="20"/>
        </w:rPr>
        <w:t xml:space="preserve">Tabla </w:t>
      </w:r>
      <w:r w:rsidR="039A5532" w:rsidRPr="493B35FF">
        <w:rPr>
          <w:b/>
          <w:bCs/>
          <w:sz w:val="20"/>
          <w:szCs w:val="20"/>
        </w:rPr>
        <w:t>2</w:t>
      </w:r>
      <w:r w:rsidRPr="493B35FF">
        <w:rPr>
          <w:b/>
          <w:bCs/>
          <w:sz w:val="20"/>
          <w:szCs w:val="20"/>
        </w:rPr>
        <w:t xml:space="preserve">. </w:t>
      </w:r>
      <w:r w:rsidRPr="493B35FF">
        <w:rPr>
          <w:sz w:val="20"/>
          <w:szCs w:val="20"/>
        </w:rPr>
        <w:t xml:space="preserve">Espesor, resistencia eléctrica y permselectividad de las membranas preparadas sobre los diferentes soportes reciclados (después </w:t>
      </w:r>
      <w:proofErr w:type="gramStart"/>
      <w:r w:rsidRPr="493B35FF">
        <w:rPr>
          <w:sz w:val="20"/>
          <w:szCs w:val="20"/>
        </w:rPr>
        <w:t xml:space="preserve">del </w:t>
      </w:r>
      <w:r w:rsidRPr="493B35FF">
        <w:rPr>
          <w:i/>
          <w:iCs/>
          <w:sz w:val="20"/>
          <w:szCs w:val="20"/>
        </w:rPr>
        <w:t>casting</w:t>
      </w:r>
      <w:proofErr w:type="gramEnd"/>
      <w:r w:rsidRPr="493B35FF">
        <w:rPr>
          <w:sz w:val="20"/>
          <w:szCs w:val="20"/>
        </w:rPr>
        <w:t>)</w:t>
      </w:r>
    </w:p>
    <w:tbl>
      <w:tblPr>
        <w:tblStyle w:val="TableGrid"/>
        <w:tblW w:w="8151" w:type="dxa"/>
        <w:tblLook w:val="04A0" w:firstRow="1" w:lastRow="0" w:firstColumn="1" w:lastColumn="0" w:noHBand="0" w:noVBand="1"/>
      </w:tblPr>
      <w:tblGrid>
        <w:gridCol w:w="2802"/>
        <w:gridCol w:w="1332"/>
        <w:gridCol w:w="2041"/>
        <w:gridCol w:w="1976"/>
      </w:tblGrid>
      <w:tr w:rsidR="002F621E" w14:paraId="7C7BA346" w14:textId="77777777" w:rsidTr="00B23E37">
        <w:tc>
          <w:tcPr>
            <w:tcW w:w="2802" w:type="dxa"/>
            <w:vAlign w:val="center"/>
          </w:tcPr>
          <w:p w14:paraId="609BCBA5" w14:textId="77777777" w:rsidR="002F621E" w:rsidRDefault="002F621E" w:rsidP="00B23E37">
            <w:pPr>
              <w:keepNext/>
              <w:keepLines/>
              <w:jc w:val="center"/>
            </w:pPr>
            <w:r w:rsidRPr="009257B7">
              <w:rPr>
                <w:b/>
                <w:bCs/>
                <w:color w:val="000000"/>
                <w:lang w:eastAsia="es-ES"/>
              </w:rPr>
              <w:t>Material soporte</w:t>
            </w:r>
          </w:p>
        </w:tc>
        <w:tc>
          <w:tcPr>
            <w:tcW w:w="1332" w:type="dxa"/>
            <w:tcBorders>
              <w:top w:val="single" w:sz="4" w:space="0" w:color="auto"/>
              <w:left w:val="single" w:sz="4" w:space="0" w:color="auto"/>
              <w:bottom w:val="single" w:sz="4" w:space="0" w:color="auto"/>
              <w:right w:val="single" w:sz="4" w:space="0" w:color="auto"/>
            </w:tcBorders>
            <w:shd w:val="clear" w:color="auto" w:fill="auto"/>
            <w:vAlign w:val="center"/>
          </w:tcPr>
          <w:p w14:paraId="53E06237" w14:textId="77777777" w:rsidR="002F621E" w:rsidRDefault="002F621E" w:rsidP="00B23E37">
            <w:pPr>
              <w:keepNext/>
              <w:keepLines/>
              <w:jc w:val="center"/>
            </w:pPr>
            <w:r w:rsidRPr="009257B7">
              <w:rPr>
                <w:b/>
                <w:bCs/>
                <w:color w:val="000000"/>
                <w:lang w:eastAsia="es-ES"/>
              </w:rPr>
              <w:t>Espesor (</w:t>
            </w:r>
            <w:r w:rsidRPr="009257B7">
              <w:rPr>
                <w:rFonts w:ascii="Symbol" w:hAnsi="Symbol"/>
                <w:b/>
                <w:bCs/>
                <w:color w:val="000000"/>
                <w:lang w:eastAsia="es-ES"/>
              </w:rPr>
              <w:t></w:t>
            </w:r>
            <w:r w:rsidRPr="009257B7">
              <w:rPr>
                <w:b/>
                <w:bCs/>
                <w:color w:val="000000"/>
                <w:lang w:eastAsia="es-ES"/>
              </w:rPr>
              <w:t>m)</w:t>
            </w:r>
          </w:p>
        </w:tc>
        <w:tc>
          <w:tcPr>
            <w:tcW w:w="2041" w:type="dxa"/>
            <w:tcBorders>
              <w:top w:val="single" w:sz="4" w:space="0" w:color="auto"/>
              <w:left w:val="single" w:sz="4" w:space="0" w:color="auto"/>
              <w:bottom w:val="single" w:sz="4" w:space="0" w:color="auto"/>
              <w:right w:val="single" w:sz="4" w:space="0" w:color="auto"/>
            </w:tcBorders>
            <w:shd w:val="clear" w:color="auto" w:fill="auto"/>
            <w:vAlign w:val="center"/>
          </w:tcPr>
          <w:p w14:paraId="6224B9AF" w14:textId="77777777" w:rsidR="002F621E" w:rsidRDefault="002F621E" w:rsidP="00B23E37">
            <w:pPr>
              <w:keepNext/>
              <w:keepLines/>
              <w:jc w:val="center"/>
            </w:pPr>
            <w:r w:rsidRPr="009257B7">
              <w:rPr>
                <w:b/>
                <w:bCs/>
                <w:color w:val="000000"/>
                <w:lang w:eastAsia="es-ES"/>
              </w:rPr>
              <w:t>Resistencia eléctrica (Ω·cm</w:t>
            </w:r>
            <w:r w:rsidRPr="009257B7">
              <w:rPr>
                <w:b/>
                <w:bCs/>
                <w:color w:val="000000"/>
                <w:vertAlign w:val="superscript"/>
                <w:lang w:eastAsia="es-ES"/>
              </w:rPr>
              <w:t>2</w:t>
            </w:r>
            <w:r w:rsidRPr="009257B7">
              <w:rPr>
                <w:b/>
                <w:bCs/>
                <w:color w:val="000000"/>
                <w:lang w:eastAsia="es-ES"/>
              </w:rPr>
              <w:t>)</w:t>
            </w:r>
          </w:p>
        </w:tc>
        <w:tc>
          <w:tcPr>
            <w:tcW w:w="1976" w:type="dxa"/>
            <w:tcBorders>
              <w:top w:val="single" w:sz="4" w:space="0" w:color="auto"/>
              <w:left w:val="single" w:sz="4" w:space="0" w:color="auto"/>
              <w:bottom w:val="single" w:sz="4" w:space="0" w:color="auto"/>
              <w:right w:val="single" w:sz="4" w:space="0" w:color="auto"/>
            </w:tcBorders>
            <w:shd w:val="clear" w:color="auto" w:fill="auto"/>
            <w:vAlign w:val="center"/>
          </w:tcPr>
          <w:p w14:paraId="35F46962" w14:textId="77777777" w:rsidR="002F621E" w:rsidRDefault="002F621E" w:rsidP="00B23E37">
            <w:pPr>
              <w:keepNext/>
              <w:keepLines/>
              <w:jc w:val="center"/>
            </w:pPr>
            <w:r w:rsidRPr="009257B7">
              <w:rPr>
                <w:b/>
                <w:bCs/>
                <w:color w:val="000000"/>
                <w:lang w:eastAsia="es-ES"/>
              </w:rPr>
              <w:t>Permselectividad (%)</w:t>
            </w:r>
          </w:p>
        </w:tc>
      </w:tr>
      <w:tr w:rsidR="002F621E" w14:paraId="118CCEC4" w14:textId="77777777" w:rsidTr="00B23E37">
        <w:tc>
          <w:tcPr>
            <w:tcW w:w="2802" w:type="dxa"/>
            <w:vAlign w:val="center"/>
          </w:tcPr>
          <w:p w14:paraId="2E33A9FE" w14:textId="77777777" w:rsidR="002F621E" w:rsidRDefault="002F621E" w:rsidP="00B23E37">
            <w:pPr>
              <w:keepNext/>
              <w:keepLines/>
              <w:jc w:val="both"/>
            </w:pPr>
            <w:r w:rsidRPr="009257B7">
              <w:rPr>
                <w:color w:val="000000"/>
                <w:lang w:eastAsia="es-ES"/>
              </w:rPr>
              <w:t>Espaciador del permeado</w:t>
            </w:r>
          </w:p>
        </w:tc>
        <w:tc>
          <w:tcPr>
            <w:tcW w:w="1332" w:type="dxa"/>
          </w:tcPr>
          <w:p w14:paraId="0F0D4EF7" w14:textId="77777777" w:rsidR="002F621E" w:rsidRPr="00A30D76" w:rsidRDefault="002F621E" w:rsidP="00B23E37">
            <w:pPr>
              <w:keepNext/>
              <w:keepLines/>
              <w:jc w:val="center"/>
            </w:pPr>
            <w:r w:rsidRPr="00A30D76">
              <w:t xml:space="preserve">305 </w:t>
            </w:r>
            <w:r w:rsidRPr="00A30D76">
              <w:rPr>
                <w:color w:val="000000"/>
                <w:lang w:val="es-ES_tradnl" w:eastAsia="es-ES"/>
              </w:rPr>
              <w:t>±</w:t>
            </w:r>
            <w:r>
              <w:rPr>
                <w:color w:val="000000"/>
                <w:lang w:val="es-ES_tradnl" w:eastAsia="es-ES"/>
              </w:rPr>
              <w:t xml:space="preserve"> 5</w:t>
            </w:r>
          </w:p>
        </w:tc>
        <w:tc>
          <w:tcPr>
            <w:tcW w:w="2041" w:type="dxa"/>
          </w:tcPr>
          <w:p w14:paraId="0C9B1D78" w14:textId="77777777" w:rsidR="002F621E" w:rsidRDefault="002F621E" w:rsidP="00B23E37">
            <w:pPr>
              <w:keepNext/>
              <w:keepLines/>
              <w:jc w:val="center"/>
            </w:pPr>
            <w:r w:rsidRPr="00D525A1">
              <w:rPr>
                <w:color w:val="000000"/>
                <w:lang w:val="es-ES_tradnl" w:eastAsia="es-ES"/>
              </w:rPr>
              <w:t>-</w:t>
            </w:r>
            <w:r>
              <w:rPr>
                <w:color w:val="000000"/>
                <w:lang w:val="es-ES_tradnl" w:eastAsia="es-ES"/>
              </w:rPr>
              <w:t xml:space="preserve"> </w:t>
            </w:r>
            <w:r w:rsidRPr="000C0ED4">
              <w:rPr>
                <w:color w:val="000000"/>
                <w:vertAlign w:val="superscript"/>
                <w:lang w:val="es-ES_tradnl" w:eastAsia="es-ES"/>
              </w:rPr>
              <w:t>a</w:t>
            </w:r>
          </w:p>
        </w:tc>
        <w:tc>
          <w:tcPr>
            <w:tcW w:w="1976" w:type="dxa"/>
          </w:tcPr>
          <w:p w14:paraId="35C63FDD" w14:textId="77777777" w:rsidR="002F621E" w:rsidRDefault="002F621E" w:rsidP="00B23E37">
            <w:pPr>
              <w:keepNext/>
              <w:keepLines/>
              <w:jc w:val="center"/>
            </w:pPr>
            <w:r w:rsidRPr="00D525A1">
              <w:rPr>
                <w:color w:val="000000"/>
                <w:lang w:val="es-ES_tradnl" w:eastAsia="es-ES"/>
              </w:rPr>
              <w:t>-</w:t>
            </w:r>
            <w:r>
              <w:rPr>
                <w:color w:val="000000"/>
                <w:lang w:val="es-ES_tradnl" w:eastAsia="es-ES"/>
              </w:rPr>
              <w:t xml:space="preserve"> </w:t>
            </w:r>
            <w:r w:rsidRPr="000C0ED4">
              <w:rPr>
                <w:color w:val="000000"/>
                <w:vertAlign w:val="superscript"/>
                <w:lang w:val="es-ES_tradnl" w:eastAsia="es-ES"/>
              </w:rPr>
              <w:t>a</w:t>
            </w:r>
          </w:p>
        </w:tc>
      </w:tr>
      <w:tr w:rsidR="002F621E" w14:paraId="73853210" w14:textId="77777777" w:rsidTr="00B23E37">
        <w:tc>
          <w:tcPr>
            <w:tcW w:w="2802" w:type="dxa"/>
            <w:vAlign w:val="center"/>
          </w:tcPr>
          <w:p w14:paraId="61E4E1A2" w14:textId="77777777" w:rsidR="002F621E" w:rsidRDefault="002F621E" w:rsidP="00B23E37">
            <w:pPr>
              <w:keepNext/>
              <w:keepLines/>
              <w:jc w:val="both"/>
            </w:pPr>
            <w:r w:rsidRPr="009257B7">
              <w:rPr>
                <w:color w:val="000000"/>
                <w:lang w:eastAsia="es-ES"/>
              </w:rPr>
              <w:t>Poliéster</w:t>
            </w:r>
          </w:p>
        </w:tc>
        <w:tc>
          <w:tcPr>
            <w:tcW w:w="1332" w:type="dxa"/>
          </w:tcPr>
          <w:p w14:paraId="24B0F90B" w14:textId="77777777" w:rsidR="002F621E" w:rsidRPr="00A30D76" w:rsidRDefault="002F621E" w:rsidP="00B23E37">
            <w:pPr>
              <w:keepNext/>
              <w:keepLines/>
              <w:jc w:val="center"/>
            </w:pPr>
            <w:r>
              <w:rPr>
                <w:color w:val="000000"/>
                <w:lang w:val="es-ES_tradnl" w:eastAsia="es-ES"/>
              </w:rPr>
              <w:t xml:space="preserve">140 </w:t>
            </w:r>
            <w:r w:rsidRPr="00D525A1">
              <w:rPr>
                <w:color w:val="000000"/>
                <w:lang w:val="es-ES_tradnl" w:eastAsia="es-ES"/>
              </w:rPr>
              <w:t>±</w:t>
            </w:r>
            <w:r>
              <w:rPr>
                <w:color w:val="000000"/>
                <w:lang w:val="es-ES_tradnl" w:eastAsia="es-ES"/>
              </w:rPr>
              <w:t xml:space="preserve"> 7</w:t>
            </w:r>
          </w:p>
        </w:tc>
        <w:tc>
          <w:tcPr>
            <w:tcW w:w="2041" w:type="dxa"/>
          </w:tcPr>
          <w:p w14:paraId="344ED1C5" w14:textId="77777777" w:rsidR="002F621E" w:rsidRDefault="002F621E" w:rsidP="00B23E37">
            <w:pPr>
              <w:keepNext/>
              <w:keepLines/>
              <w:jc w:val="center"/>
            </w:pPr>
            <w:r>
              <w:t>114 ± 7</w:t>
            </w:r>
          </w:p>
        </w:tc>
        <w:tc>
          <w:tcPr>
            <w:tcW w:w="1976" w:type="dxa"/>
          </w:tcPr>
          <w:p w14:paraId="4ED243F0" w14:textId="77777777" w:rsidR="002F621E" w:rsidRDefault="002F621E" w:rsidP="00B23E37">
            <w:pPr>
              <w:keepNext/>
              <w:keepLines/>
              <w:jc w:val="center"/>
            </w:pPr>
            <w:r>
              <w:t>60 ± 5</w:t>
            </w:r>
          </w:p>
        </w:tc>
      </w:tr>
      <w:tr w:rsidR="002F621E" w14:paraId="7A502CF2" w14:textId="77777777" w:rsidTr="00B23E37">
        <w:tc>
          <w:tcPr>
            <w:tcW w:w="2802" w:type="dxa"/>
            <w:vAlign w:val="center"/>
          </w:tcPr>
          <w:p w14:paraId="57DE94E2" w14:textId="77777777" w:rsidR="002F621E" w:rsidRDefault="002F621E" w:rsidP="00B23E37">
            <w:pPr>
              <w:keepNext/>
              <w:keepLines/>
              <w:jc w:val="both"/>
            </w:pPr>
            <w:r w:rsidRPr="009257B7">
              <w:rPr>
                <w:color w:val="000000"/>
                <w:lang w:eastAsia="es-ES"/>
              </w:rPr>
              <w:t>Membrana reciclada a NF</w:t>
            </w:r>
          </w:p>
        </w:tc>
        <w:tc>
          <w:tcPr>
            <w:tcW w:w="1332" w:type="dxa"/>
          </w:tcPr>
          <w:p w14:paraId="110292B9" w14:textId="77777777" w:rsidR="002F621E" w:rsidRDefault="002F621E" w:rsidP="00B23E37">
            <w:pPr>
              <w:keepNext/>
              <w:keepLines/>
              <w:jc w:val="center"/>
            </w:pPr>
            <w:r>
              <w:t>184 ± 9</w:t>
            </w:r>
          </w:p>
        </w:tc>
        <w:tc>
          <w:tcPr>
            <w:tcW w:w="2041" w:type="dxa"/>
          </w:tcPr>
          <w:p w14:paraId="2AC376E9" w14:textId="77777777" w:rsidR="002F621E" w:rsidRDefault="002F621E" w:rsidP="00B23E37">
            <w:pPr>
              <w:keepNext/>
              <w:keepLines/>
              <w:jc w:val="center"/>
            </w:pPr>
            <w:r w:rsidRPr="00D525A1">
              <w:rPr>
                <w:color w:val="000000"/>
                <w:lang w:val="es-ES_tradnl" w:eastAsia="es-ES"/>
              </w:rPr>
              <w:t>-</w:t>
            </w:r>
            <w:r>
              <w:rPr>
                <w:color w:val="000000"/>
                <w:lang w:val="es-ES_tradnl" w:eastAsia="es-ES"/>
              </w:rPr>
              <w:t xml:space="preserve"> </w:t>
            </w:r>
            <w:r w:rsidRPr="000C0ED4">
              <w:rPr>
                <w:color w:val="000000"/>
                <w:vertAlign w:val="superscript"/>
                <w:lang w:val="es-ES_tradnl" w:eastAsia="es-ES"/>
              </w:rPr>
              <w:t>b</w:t>
            </w:r>
          </w:p>
        </w:tc>
        <w:tc>
          <w:tcPr>
            <w:tcW w:w="1976" w:type="dxa"/>
          </w:tcPr>
          <w:p w14:paraId="27B588DC" w14:textId="77777777" w:rsidR="002F621E" w:rsidRDefault="002F621E" w:rsidP="00B23E37">
            <w:pPr>
              <w:keepNext/>
              <w:keepLines/>
              <w:jc w:val="center"/>
            </w:pPr>
            <w:r w:rsidRPr="00D525A1">
              <w:rPr>
                <w:color w:val="000000"/>
                <w:lang w:val="es-ES_tradnl" w:eastAsia="es-ES"/>
              </w:rPr>
              <w:t>-</w:t>
            </w:r>
            <w:r>
              <w:rPr>
                <w:color w:val="000000"/>
                <w:lang w:val="es-ES_tradnl" w:eastAsia="es-ES"/>
              </w:rPr>
              <w:t xml:space="preserve"> </w:t>
            </w:r>
            <w:r w:rsidRPr="000C0ED4">
              <w:rPr>
                <w:color w:val="000000"/>
                <w:vertAlign w:val="superscript"/>
                <w:lang w:val="es-ES_tradnl" w:eastAsia="es-ES"/>
              </w:rPr>
              <w:t>b</w:t>
            </w:r>
          </w:p>
        </w:tc>
      </w:tr>
      <w:tr w:rsidR="002F621E" w14:paraId="5EDAABC6" w14:textId="77777777" w:rsidTr="00B23E37">
        <w:tc>
          <w:tcPr>
            <w:tcW w:w="2802" w:type="dxa"/>
            <w:vAlign w:val="center"/>
          </w:tcPr>
          <w:p w14:paraId="70D935A0" w14:textId="77777777" w:rsidR="002F621E" w:rsidRDefault="002F621E" w:rsidP="00B23E37">
            <w:pPr>
              <w:keepNext/>
              <w:keepLines/>
              <w:jc w:val="both"/>
            </w:pPr>
            <w:r w:rsidRPr="009257B7">
              <w:rPr>
                <w:color w:val="000000"/>
                <w:lang w:eastAsia="es-ES"/>
              </w:rPr>
              <w:t>Membrana reciclada a UF</w:t>
            </w:r>
          </w:p>
        </w:tc>
        <w:tc>
          <w:tcPr>
            <w:tcW w:w="1332" w:type="dxa"/>
          </w:tcPr>
          <w:p w14:paraId="57EB22C0" w14:textId="77777777" w:rsidR="002F621E" w:rsidRDefault="002F621E" w:rsidP="00B23E37">
            <w:pPr>
              <w:keepNext/>
              <w:keepLines/>
              <w:jc w:val="center"/>
            </w:pPr>
            <w:r>
              <w:t>176 ± 4</w:t>
            </w:r>
          </w:p>
        </w:tc>
        <w:tc>
          <w:tcPr>
            <w:tcW w:w="2041" w:type="dxa"/>
          </w:tcPr>
          <w:p w14:paraId="72A101AE" w14:textId="77777777" w:rsidR="002F621E" w:rsidRDefault="002F621E" w:rsidP="00B23E37">
            <w:pPr>
              <w:keepNext/>
              <w:keepLines/>
              <w:jc w:val="center"/>
            </w:pPr>
            <w:r>
              <w:t>77 ± 3</w:t>
            </w:r>
          </w:p>
        </w:tc>
        <w:tc>
          <w:tcPr>
            <w:tcW w:w="1976" w:type="dxa"/>
          </w:tcPr>
          <w:p w14:paraId="25CA5990" w14:textId="77777777" w:rsidR="002F621E" w:rsidRDefault="002F621E" w:rsidP="00B23E37">
            <w:pPr>
              <w:keepNext/>
              <w:keepLines/>
              <w:jc w:val="center"/>
            </w:pPr>
            <w:r>
              <w:t>87 ± 1</w:t>
            </w:r>
          </w:p>
        </w:tc>
      </w:tr>
    </w:tbl>
    <w:p w14:paraId="05FCA931" w14:textId="2F79DA61" w:rsidR="002F621E" w:rsidRPr="006A5673" w:rsidRDefault="002F621E" w:rsidP="00B23E37">
      <w:pPr>
        <w:keepNext/>
        <w:keepLines/>
        <w:jc w:val="both"/>
        <w:rPr>
          <w:sz w:val="20"/>
          <w:szCs w:val="20"/>
        </w:rPr>
      </w:pPr>
      <w:r w:rsidRPr="006A5673">
        <w:rPr>
          <w:sz w:val="20"/>
          <w:szCs w:val="20"/>
          <w:vertAlign w:val="superscript"/>
        </w:rPr>
        <w:t>a</w:t>
      </w:r>
      <w:r w:rsidRPr="006A5673">
        <w:rPr>
          <w:sz w:val="20"/>
          <w:szCs w:val="20"/>
        </w:rPr>
        <w:t xml:space="preserve"> </w:t>
      </w:r>
      <w:proofErr w:type="gramStart"/>
      <w:r w:rsidRPr="006A5673">
        <w:rPr>
          <w:sz w:val="20"/>
          <w:szCs w:val="20"/>
        </w:rPr>
        <w:t xml:space="preserve">El </w:t>
      </w:r>
      <w:r w:rsidRPr="006A5673">
        <w:rPr>
          <w:i/>
          <w:iCs/>
          <w:sz w:val="20"/>
          <w:szCs w:val="20"/>
        </w:rPr>
        <w:t>casting</w:t>
      </w:r>
      <w:proofErr w:type="gramEnd"/>
      <w:r w:rsidRPr="006A5673">
        <w:rPr>
          <w:sz w:val="20"/>
          <w:szCs w:val="20"/>
        </w:rPr>
        <w:t xml:space="preserve"> no es lo suficientemente </w:t>
      </w:r>
      <w:r w:rsidR="00645572">
        <w:rPr>
          <w:sz w:val="20"/>
          <w:szCs w:val="20"/>
        </w:rPr>
        <w:t>homogéneo</w:t>
      </w:r>
      <w:r w:rsidR="00645572" w:rsidRPr="006A5673">
        <w:rPr>
          <w:sz w:val="20"/>
          <w:szCs w:val="20"/>
        </w:rPr>
        <w:t xml:space="preserve"> </w:t>
      </w:r>
      <w:r w:rsidRPr="006A5673">
        <w:rPr>
          <w:sz w:val="20"/>
          <w:szCs w:val="20"/>
        </w:rPr>
        <w:t xml:space="preserve">como para evitar la mezcla de las disoluciones. </w:t>
      </w:r>
    </w:p>
    <w:p w14:paraId="48F3839C" w14:textId="77777777" w:rsidR="002F621E" w:rsidRPr="006A5673" w:rsidRDefault="002F621E" w:rsidP="00B23E37">
      <w:pPr>
        <w:keepNext/>
        <w:keepLines/>
        <w:jc w:val="both"/>
        <w:rPr>
          <w:sz w:val="20"/>
          <w:szCs w:val="20"/>
        </w:rPr>
      </w:pPr>
      <w:r w:rsidRPr="006A5673">
        <w:rPr>
          <w:sz w:val="20"/>
          <w:szCs w:val="20"/>
          <w:vertAlign w:val="superscript"/>
        </w:rPr>
        <w:t>b</w:t>
      </w:r>
      <w:r w:rsidRPr="006A5673">
        <w:rPr>
          <w:sz w:val="20"/>
          <w:szCs w:val="20"/>
        </w:rPr>
        <w:t xml:space="preserve"> </w:t>
      </w:r>
      <w:proofErr w:type="gramStart"/>
      <w:r w:rsidRPr="006A5673">
        <w:rPr>
          <w:sz w:val="20"/>
          <w:szCs w:val="20"/>
        </w:rPr>
        <w:t xml:space="preserve">El </w:t>
      </w:r>
      <w:r w:rsidRPr="006A5673">
        <w:rPr>
          <w:i/>
          <w:iCs/>
          <w:sz w:val="20"/>
          <w:szCs w:val="20"/>
        </w:rPr>
        <w:t>casting</w:t>
      </w:r>
      <w:proofErr w:type="gramEnd"/>
      <w:r w:rsidRPr="006A5673">
        <w:rPr>
          <w:sz w:val="20"/>
          <w:szCs w:val="20"/>
        </w:rPr>
        <w:t xml:space="preserve"> se despega del soporte.</w:t>
      </w:r>
    </w:p>
    <w:p w14:paraId="170663C7" w14:textId="1D9D8D63" w:rsidR="001414D1" w:rsidRPr="00581C59" w:rsidRDefault="00A568EA" w:rsidP="004D58E0">
      <w:pPr>
        <w:spacing w:before="120" w:line="312" w:lineRule="auto"/>
        <w:ind w:firstLine="720"/>
        <w:jc w:val="both"/>
        <w:rPr>
          <w:color w:val="000000"/>
          <w:lang w:eastAsia="es-ES"/>
        </w:rPr>
      </w:pPr>
      <w:r>
        <w:t xml:space="preserve">Se observa que, realizando </w:t>
      </w:r>
      <w:proofErr w:type="gramStart"/>
      <w:r>
        <w:t xml:space="preserve">el </w:t>
      </w:r>
      <w:r w:rsidRPr="00336E53">
        <w:rPr>
          <w:i/>
          <w:iCs/>
        </w:rPr>
        <w:t>casting</w:t>
      </w:r>
      <w:proofErr w:type="gramEnd"/>
      <w:r>
        <w:t xml:space="preserve"> sobre el espaciador del permeado, la mezcla polimérica aplicada no es suficiente como para generar una capa libre de </w:t>
      </w:r>
      <w:r w:rsidR="00B7750C">
        <w:t xml:space="preserve">grietas. Esto significa que, </w:t>
      </w:r>
      <w:r w:rsidR="006F5919">
        <w:t xml:space="preserve">bajo estas condiciones de preparación, </w:t>
      </w:r>
      <w:r w:rsidR="00B7750C">
        <w:t>e</w:t>
      </w:r>
      <w:r>
        <w:t xml:space="preserve">ste material no será adecuado para la preparación de membranas. </w:t>
      </w:r>
      <w:r w:rsidR="006F5919">
        <w:t>Por otra parte, l</w:t>
      </w:r>
      <w:r>
        <w:t xml:space="preserve">a membrana preparada sobre el soporte de poliéster no alcanza una permselectividad adecuada (en comparación con la membrana comercial, AMH-PES, cuya permselectividad es de 84 ± 3%). Curiosamente, al realizar </w:t>
      </w:r>
      <w:proofErr w:type="gramStart"/>
      <w:r>
        <w:t xml:space="preserve">el </w:t>
      </w:r>
      <w:r w:rsidRPr="00336E53">
        <w:rPr>
          <w:i/>
          <w:iCs/>
        </w:rPr>
        <w:t>casting</w:t>
      </w:r>
      <w:proofErr w:type="gramEnd"/>
      <w:r w:rsidRPr="00336E53">
        <w:rPr>
          <w:i/>
          <w:iCs/>
        </w:rPr>
        <w:t xml:space="preserve"> </w:t>
      </w:r>
      <w:r>
        <w:t xml:space="preserve">sobre la membrana de NF, el </w:t>
      </w:r>
      <w:r w:rsidRPr="00336E53">
        <w:rPr>
          <w:i/>
          <w:iCs/>
        </w:rPr>
        <w:t>casting</w:t>
      </w:r>
      <w:r>
        <w:t xml:space="preserve"> se despega de la membrana. Esto puedo deberse, a que la poliamida remanente no es soluble en THF, lo que podría empeorar la adhesión </w:t>
      </w:r>
      <w:proofErr w:type="gramStart"/>
      <w:r>
        <w:t xml:space="preserve">del </w:t>
      </w:r>
      <w:r w:rsidRPr="00336E53">
        <w:rPr>
          <w:i/>
          <w:iCs/>
        </w:rPr>
        <w:t>casting</w:t>
      </w:r>
      <w:proofErr w:type="gramEnd"/>
      <w:r w:rsidR="00B7750C">
        <w:rPr>
          <w:i/>
          <w:iCs/>
        </w:rPr>
        <w:t xml:space="preserve"> </w:t>
      </w:r>
      <w:r w:rsidR="00B7750C">
        <w:t>a</w:t>
      </w:r>
      <w:r w:rsidR="00645572">
        <w:t xml:space="preserve"> este</w:t>
      </w:r>
      <w:r w:rsidR="00B7750C">
        <w:t xml:space="preserve"> soporte</w:t>
      </w:r>
      <w:r>
        <w:t xml:space="preserve">. Por último, la membrana </w:t>
      </w:r>
      <w:r w:rsidR="00645572">
        <w:t xml:space="preserve">preparada usando como soporte la membrana </w:t>
      </w:r>
      <w:r>
        <w:t xml:space="preserve">con propiedades de UF presenta buenas propiedades mecánicas y de adhesión </w:t>
      </w:r>
      <w:proofErr w:type="gramStart"/>
      <w:r>
        <w:t xml:space="preserve">del </w:t>
      </w:r>
      <w:r w:rsidRPr="00336E53">
        <w:rPr>
          <w:i/>
          <w:iCs/>
        </w:rPr>
        <w:t>casting</w:t>
      </w:r>
      <w:proofErr w:type="gramEnd"/>
      <w:r>
        <w:t>, además de una permselectividad adecuada</w:t>
      </w:r>
      <w:r w:rsidR="00B7750C">
        <w:t xml:space="preserve"> (87%)</w:t>
      </w:r>
      <w:r w:rsidR="006F5919">
        <w:t xml:space="preserve"> y superior a la membrana comercial</w:t>
      </w:r>
      <w:r>
        <w:t xml:space="preserve">. Sin embargo, la resistencia eléctrica de esta membrana </w:t>
      </w:r>
      <w:r w:rsidR="00B7750C">
        <w:t>(77</w:t>
      </w:r>
      <w:r w:rsidR="00B7750C" w:rsidRPr="00B7750C">
        <w:rPr>
          <w:color w:val="000000"/>
          <w:lang w:eastAsia="es-ES"/>
        </w:rPr>
        <w:t xml:space="preserve"> </w:t>
      </w:r>
      <w:r w:rsidR="00B7750C" w:rsidRPr="00A568EA">
        <w:rPr>
          <w:color w:val="000000"/>
          <w:lang w:eastAsia="es-ES"/>
        </w:rPr>
        <w:t>Ω·</w:t>
      </w:r>
      <w:r w:rsidR="00B7750C" w:rsidRPr="00B7750C">
        <w:rPr>
          <w:color w:val="000000"/>
          <w:lang w:eastAsia="es-ES"/>
        </w:rPr>
        <w:t>cm</w:t>
      </w:r>
      <w:r w:rsidR="00B7750C" w:rsidRPr="00B7750C">
        <w:rPr>
          <w:color w:val="000000"/>
          <w:vertAlign w:val="superscript"/>
          <w:lang w:eastAsia="es-ES"/>
        </w:rPr>
        <w:t>2</w:t>
      </w:r>
      <w:r w:rsidR="00B7750C">
        <w:rPr>
          <w:color w:val="000000"/>
          <w:lang w:eastAsia="es-ES"/>
        </w:rPr>
        <w:t xml:space="preserve">) </w:t>
      </w:r>
      <w:r w:rsidRPr="00B7750C">
        <w:t>es</w:t>
      </w:r>
      <w:r>
        <w:t xml:space="preserve"> mayor que el de la membrana comercial de referencia (19 ± 3 </w:t>
      </w:r>
      <w:r w:rsidRPr="00A568EA">
        <w:rPr>
          <w:color w:val="000000"/>
          <w:lang w:eastAsia="es-ES"/>
        </w:rPr>
        <w:t>Ω·cm</w:t>
      </w:r>
      <w:r w:rsidRPr="00A568EA">
        <w:rPr>
          <w:color w:val="000000"/>
          <w:vertAlign w:val="superscript"/>
          <w:lang w:eastAsia="es-ES"/>
        </w:rPr>
        <w:t>2</w:t>
      </w:r>
      <w:r>
        <w:rPr>
          <w:color w:val="000000"/>
          <w:lang w:eastAsia="es-ES"/>
        </w:rPr>
        <w:t>)</w:t>
      </w:r>
      <w:r w:rsidR="00B51FCD">
        <w:rPr>
          <w:color w:val="000000"/>
          <w:lang w:eastAsia="es-ES"/>
        </w:rPr>
        <w:t xml:space="preserve">, lo que conlleva a un mayor consumo energético del proceso de electro-separación. Para conseguir una disminución de la resistencia eléctrica, otros autores han propuesto técnicas como la adición de nanopartículas conductoras como el óxido de </w:t>
      </w:r>
      <w:r w:rsidR="00B51FCD" w:rsidRPr="008C69AA">
        <w:rPr>
          <w:color w:val="000000"/>
          <w:lang w:eastAsia="es-ES"/>
        </w:rPr>
        <w:t xml:space="preserve">grafeno </w:t>
      </w:r>
      <w:r w:rsidR="00B51FCD" w:rsidRPr="008C69AA">
        <w:rPr>
          <w:color w:val="000000"/>
          <w:lang w:eastAsia="es-ES"/>
        </w:rPr>
        <w:lastRenderedPageBreak/>
        <w:fldChar w:fldCharType="begin" w:fldLock="1"/>
      </w:r>
      <w:r w:rsidR="009648EF" w:rsidRPr="008C69AA">
        <w:rPr>
          <w:color w:val="000000"/>
          <w:lang w:eastAsia="es-ES"/>
        </w:rPr>
        <w:instrText>ADDIN CSL_CITATION {"citationItems":[{"id":"ITEM-1","itemData":{"DOI":"10.1016/j.memsci.2017.07.022","ISSN":"03767388","author":[{"dropping-particle":"","family":"Hosseini","given":"S.M.","non-dropping-particle":"","parse-names":false,"suffix":""},{"dropping-particle":"","family":"Jashni","given":"E.","non-dropping-particle":"","parse-names":false,"suffix":""},{"dropping-particle":"","family":"Habibi","given":"M.","non-dropping-particle":"","parse-names":false,"suffix":""},{"dropping-particle":"","family":"Nemati","given":"M.","non-dropping-particle":"","parse-names":false,"suffix":""},{"dropping-particle":"","family":"Bruggen","given":"B.","non-dropping-particle":"Van der","parse-names":false,"suffix":""}],"container-title":"Journal of Membrane Science","id":"ITEM-1","issued":{"date-parts":[["2017"]]},"page":"641-652","publisher":"Elsevier B.V.","title":"Evaluating the ion transport characteristics of novel graphene oxide nanoplates entrapped mixed matrix cation exchange membranes in water deionization","type":"article-journal","volume":"541"},"uris":["http://www.mendeley.com/documents/?uuid=df16cc7d-a075-4a65-bd67-11b860066b46"]}],"mendeley":{"formattedCitation":"(Hosseini et al., 2017)","plainTextFormattedCitation":"(Hosseini et al., 2017)","previouslyFormattedCitation":"(Hosseini et al., 2017)"},"properties":{"noteIndex":0},"schema":"https://github.com/citation-style-language/schema/raw/master/csl-citation.json"}</w:instrText>
      </w:r>
      <w:r w:rsidR="00B51FCD" w:rsidRPr="008C69AA">
        <w:rPr>
          <w:color w:val="000000"/>
          <w:lang w:eastAsia="es-ES"/>
        </w:rPr>
        <w:fldChar w:fldCharType="separate"/>
      </w:r>
      <w:r w:rsidR="00B51FCD" w:rsidRPr="008C69AA">
        <w:rPr>
          <w:noProof/>
          <w:color w:val="000000"/>
          <w:lang w:eastAsia="es-ES"/>
        </w:rPr>
        <w:t>(Hosseini et al., 2017)</w:t>
      </w:r>
      <w:r w:rsidR="00B51FCD" w:rsidRPr="008C69AA">
        <w:rPr>
          <w:color w:val="000000"/>
          <w:lang w:eastAsia="es-ES"/>
        </w:rPr>
        <w:fldChar w:fldCharType="end"/>
      </w:r>
      <w:r w:rsidR="00B51FCD" w:rsidRPr="008C69AA">
        <w:rPr>
          <w:color w:val="000000"/>
          <w:lang w:eastAsia="es-ES"/>
        </w:rPr>
        <w:t xml:space="preserve"> o</w:t>
      </w:r>
      <w:r w:rsidR="00B7750C" w:rsidRPr="008C69AA">
        <w:rPr>
          <w:color w:val="000000"/>
          <w:lang w:eastAsia="es-ES"/>
        </w:rPr>
        <w:t xml:space="preserve"> </w:t>
      </w:r>
      <w:r w:rsidR="00B51FCD" w:rsidRPr="008C69AA">
        <w:rPr>
          <w:color w:val="000000"/>
          <w:lang w:eastAsia="es-ES"/>
        </w:rPr>
        <w:t xml:space="preserve">la activación de los grupos funcionales de la membranas </w:t>
      </w:r>
      <w:r w:rsidR="00B51FCD" w:rsidRPr="008C69AA">
        <w:rPr>
          <w:color w:val="000000"/>
          <w:lang w:eastAsia="es-ES"/>
        </w:rPr>
        <w:fldChar w:fldCharType="begin" w:fldLock="1"/>
      </w:r>
      <w:r w:rsidR="00CC1AD9" w:rsidRPr="008C69AA">
        <w:rPr>
          <w:color w:val="000000"/>
          <w:lang w:eastAsia="es-ES"/>
        </w:rPr>
        <w:instrText>ADDIN CSL_CITATION {"citationItems":[{"id":"ITEM-1","itemData":{"DOI":"10.1080/19443994.2014.980975","author":[{"dropping-particle":"","family":"Brožová","given":"L","non-dropping-particle":"","parse-names":false,"suffix":""},{"dropping-particle":"","family":"Křivčík","given":"J","non-dropping-particle":"","parse-names":false,"suffix":""},{"dropping-particle":"","family":"Neděla","given":"D","non-dropping-particle":"","parse-names":false,"suffix":""},{"dropping-particle":"","family":"Kysela","given":"V","non-dropping-particle":"","parse-names":false,"suffix":""},{"dropping-particle":"","family":"Žitka","given":"J","non-dropping-particle":"","parse-names":false,"suffix":""}],"container-title":"Desalination and Water Treatment","id":"ITEM-1","issued":{"date-parts":[["2015"]]},"page":"3228-3232","title":"The influence of activation of heterogeneous ion- exchange membranes on their electrochemical properties","type":"article-journal","volume":"56:12"},"uris":["http://www.mendeley.com/documents/?uuid=d2888365-d620-4e0c-888b-6113ddc363fe"]}],"mendeley":{"formattedCitation":"(Brožová et al., 2015)","plainTextFormattedCitation":"(Brožová et al., 2015)","previouslyFormattedCitation":"(Brožová et al., 2015)"},"properties":{"noteIndex":0},"schema":"https://github.com/citation-style-language/schema/raw/master/csl-citation.json"}</w:instrText>
      </w:r>
      <w:r w:rsidR="00B51FCD" w:rsidRPr="008C69AA">
        <w:rPr>
          <w:color w:val="000000"/>
          <w:lang w:eastAsia="es-ES"/>
        </w:rPr>
        <w:fldChar w:fldCharType="separate"/>
      </w:r>
      <w:r w:rsidR="00E056DD" w:rsidRPr="008C69AA">
        <w:rPr>
          <w:noProof/>
          <w:color w:val="000000"/>
          <w:lang w:eastAsia="es-ES"/>
        </w:rPr>
        <w:t>(Brožová et al., 2015)</w:t>
      </w:r>
      <w:r w:rsidR="00B51FCD" w:rsidRPr="008C69AA">
        <w:rPr>
          <w:color w:val="000000"/>
          <w:lang w:eastAsia="es-ES"/>
        </w:rPr>
        <w:fldChar w:fldCharType="end"/>
      </w:r>
      <w:r w:rsidR="00B51FCD" w:rsidRPr="008C69AA">
        <w:rPr>
          <w:color w:val="000000"/>
          <w:lang w:eastAsia="es-ES"/>
        </w:rPr>
        <w:t>.</w:t>
      </w:r>
      <w:r w:rsidR="00B51FCD">
        <w:rPr>
          <w:color w:val="000000"/>
          <w:lang w:eastAsia="es-ES"/>
        </w:rPr>
        <w:t xml:space="preserve"> </w:t>
      </w:r>
      <w:r w:rsidR="00B23E37">
        <w:rPr>
          <w:color w:val="000000"/>
          <w:lang w:eastAsia="es-ES"/>
        </w:rPr>
        <w:t xml:space="preserve">Se ha </w:t>
      </w:r>
      <w:r w:rsidR="00E056DD">
        <w:rPr>
          <w:color w:val="000000"/>
          <w:lang w:eastAsia="es-ES"/>
        </w:rPr>
        <w:t>comprobado</w:t>
      </w:r>
      <w:r w:rsidR="00B23E37">
        <w:rPr>
          <w:color w:val="000000"/>
          <w:lang w:eastAsia="es-ES"/>
        </w:rPr>
        <w:t xml:space="preserve"> que la activación mediante exposición a disoluciones </w:t>
      </w:r>
      <w:r w:rsidR="00AA008A">
        <w:rPr>
          <w:color w:val="000000"/>
          <w:lang w:eastAsia="es-ES"/>
        </w:rPr>
        <w:t>á</w:t>
      </w:r>
      <w:r w:rsidR="00E056DD">
        <w:rPr>
          <w:color w:val="000000"/>
          <w:lang w:eastAsia="es-ES"/>
        </w:rPr>
        <w:t>cidas</w:t>
      </w:r>
      <w:r w:rsidR="00B23E37">
        <w:rPr>
          <w:color w:val="000000"/>
          <w:lang w:eastAsia="es-ES"/>
        </w:rPr>
        <w:t xml:space="preserve"> y alcalinas </w:t>
      </w:r>
      <w:r w:rsidR="00E056DD" w:rsidRPr="00581C59">
        <w:rPr>
          <w:color w:val="000000"/>
          <w:lang w:eastAsia="es-ES"/>
        </w:rPr>
        <w:t>p</w:t>
      </w:r>
      <w:r w:rsidR="00CC1AD9" w:rsidRPr="00581C59">
        <w:rPr>
          <w:color w:val="000000"/>
          <w:lang w:eastAsia="es-ES"/>
        </w:rPr>
        <w:t>uede</w:t>
      </w:r>
      <w:r w:rsidR="00B23E37" w:rsidRPr="00581C59">
        <w:rPr>
          <w:color w:val="000000"/>
          <w:lang w:eastAsia="es-ES"/>
        </w:rPr>
        <w:t xml:space="preserve"> ser un método adecuado para </w:t>
      </w:r>
      <w:r w:rsidR="00E056DD" w:rsidRPr="00581C59">
        <w:rPr>
          <w:color w:val="000000"/>
          <w:lang w:eastAsia="es-ES"/>
        </w:rPr>
        <w:t>disminuir</w:t>
      </w:r>
      <w:r w:rsidR="00B23E37" w:rsidRPr="00581C59">
        <w:rPr>
          <w:color w:val="000000"/>
          <w:lang w:eastAsia="es-ES"/>
        </w:rPr>
        <w:t xml:space="preserve"> la resistencia eléctrica de este tipo de </w:t>
      </w:r>
      <w:r w:rsidR="00E056DD" w:rsidRPr="00581C59">
        <w:rPr>
          <w:color w:val="000000"/>
          <w:lang w:eastAsia="es-ES"/>
        </w:rPr>
        <w:t>membranas</w:t>
      </w:r>
      <w:r w:rsidR="00CC1AD9" w:rsidRPr="00581C59">
        <w:rPr>
          <w:color w:val="000000"/>
          <w:lang w:eastAsia="es-ES"/>
        </w:rPr>
        <w:t xml:space="preserve"> </w:t>
      </w:r>
      <w:r w:rsidR="003D6BF1" w:rsidRPr="00581C59">
        <w:rPr>
          <w:color w:val="000000"/>
          <w:lang w:eastAsia="es-ES"/>
        </w:rPr>
        <w:fldChar w:fldCharType="begin" w:fldLock="1"/>
      </w:r>
      <w:r w:rsidR="00EC59F2" w:rsidRPr="00581C59">
        <w:rPr>
          <w:color w:val="000000"/>
          <w:lang w:eastAsia="es-ES"/>
        </w:rPr>
        <w:instrText>ADDIN CSL_CITATION {"citationItems":[{"id":"ITEM-1","itemData":{"DOI":"10.1016/j.chemosphere.2020.126027","ISSN":"18791298","PMID":"32032875","abstract":"In this study, an activation treatment for recycled anion exchange membranes is proposed. Following the circular economy approach, these membranes were prepared by using end-of-life reverse osmosis membranes as mechanical support. The end-of-life membrane was previously used and discarded by desalination plants after overcoming its lifespan. The activation treatment was based on the subsequent immersion of the membranes in diluted acid and alkali solutions. This treatment promoted the complete dissociation of the functional groups in the membrane, making them more reactive to the counter ions. The effects of acid and alkali concentrations and exposition times on the electrochemical properties were studied and the best combination was selected. In such a way, a decrease of 37% in membrane electrical resistance was achieved. The performance of activated and non-activated membranes in brackish water desalination by electrodialysis was compared. The results showed that the proposed activation treatment increased the flux of fresh water more than four-fold (from 1.2 to 4.9 L h−1·m−2), with a considerable reduction of energy consumption (from 5.2 to 3.0 kWh·m−3) and a great improvement in current efficiency (from 38% to 71%). In conclusion, this work shows a simple and low cost methodology for the improvement of the electrochemical properties of recycled electromembranes and thus, their performance in electrodialysis.","author":[{"dropping-particle":"","family":"Lejarazu-Larrañaga","given":"Amaia","non-dropping-particle":"","parse-names":false,"suffix":""},{"dropping-particle":"","family":"Molina","given":"Serena","non-dropping-particle":"","parse-names":false,"suffix":""},{"dropping-particle":"","family":"Ortiz","given":"Juan Manuel","non-dropping-particle":"","parse-names":false,"suffix":""},{"dropping-particle":"","family":"Riccardelli","given":"Gerardo","non-dropping-particle":"","parse-names":false,"suffix":""},{"dropping-particle":"","family":"García-Calvo","given":"Eloy","non-dropping-particle":"","parse-names":false,"suffix":""}],"container-title":"Chemosphere","id":"ITEM-1","issued":{"date-parts":[["2020"]]},"page":"126027","title":"Influence of acid/base activation treatment in the performance of recycled electromembrane for fresh water production by electrodialysis","type":"article-journal","volume":"248"},"uris":["http://www.mendeley.com/documents/?uuid=e03c7c2c-6ba1-4045-a81e-d2d896218874"]}],"mendeley":{"formattedCitation":"(Lejarazu-Larrañaga, Molina, Ortiz, Riccardelli, et al., 2020)","plainTextFormattedCitation":"(Lejarazu-Larrañaga, Molina, Ortiz, Riccardelli, et al., 2020)","previouslyFormattedCitation":"(Lejarazu-Larrañaga, Molina, Ortiz, Riccardelli, et al., 2020)"},"properties":{"noteIndex":0},"schema":"https://github.com/citation-style-language/schema/raw/master/csl-citation.json"}</w:instrText>
      </w:r>
      <w:r w:rsidR="003D6BF1" w:rsidRPr="00581C59">
        <w:rPr>
          <w:color w:val="000000"/>
          <w:lang w:eastAsia="es-ES"/>
        </w:rPr>
        <w:fldChar w:fldCharType="separate"/>
      </w:r>
      <w:r w:rsidR="003D6BF1" w:rsidRPr="00581C59">
        <w:rPr>
          <w:noProof/>
          <w:color w:val="000000"/>
          <w:lang w:eastAsia="es-ES"/>
        </w:rPr>
        <w:t>(Lejarazu-Larrañaga, Molina, Ortiz, Riccardelli, et al., 2020)</w:t>
      </w:r>
      <w:r w:rsidR="003D6BF1" w:rsidRPr="00581C59">
        <w:rPr>
          <w:color w:val="000000"/>
          <w:lang w:eastAsia="es-ES"/>
        </w:rPr>
        <w:fldChar w:fldCharType="end"/>
      </w:r>
      <w:r w:rsidR="003D6BF1" w:rsidRPr="00581C59">
        <w:rPr>
          <w:color w:val="000000"/>
          <w:lang w:eastAsia="es-ES"/>
        </w:rPr>
        <w:t>.</w:t>
      </w:r>
    </w:p>
    <w:p w14:paraId="385CD296" w14:textId="2F1156A7" w:rsidR="005C55AA" w:rsidRDefault="005C55AA" w:rsidP="00EA266E">
      <w:pPr>
        <w:spacing w:before="120" w:line="312" w:lineRule="auto"/>
        <w:ind w:firstLine="720"/>
        <w:jc w:val="both"/>
        <w:rPr>
          <w:color w:val="000000"/>
          <w:lang w:eastAsia="es-ES"/>
        </w:rPr>
      </w:pPr>
      <w:r w:rsidRPr="00581C59">
        <w:rPr>
          <w:color w:val="000000"/>
          <w:lang w:eastAsia="es-ES"/>
        </w:rPr>
        <w:t xml:space="preserve">En general, este trabajo plantea el uso de soportes reciclados alternativos obtenidos </w:t>
      </w:r>
      <w:r w:rsidR="00AA008A" w:rsidRPr="00581C59">
        <w:rPr>
          <w:color w:val="000000"/>
          <w:lang w:eastAsia="es-ES"/>
        </w:rPr>
        <w:t xml:space="preserve">a partir </w:t>
      </w:r>
      <w:r w:rsidRPr="00581C59">
        <w:rPr>
          <w:color w:val="000000"/>
          <w:lang w:eastAsia="es-ES"/>
        </w:rPr>
        <w:t xml:space="preserve">de módulos de OI desechados para la preparación de membranas de intercambio </w:t>
      </w:r>
      <w:r w:rsidR="00B23E37" w:rsidRPr="00581C59">
        <w:rPr>
          <w:color w:val="000000"/>
          <w:lang w:eastAsia="es-ES"/>
        </w:rPr>
        <w:t>an</w:t>
      </w:r>
      <w:r w:rsidRPr="00581C59">
        <w:rPr>
          <w:color w:val="000000"/>
          <w:lang w:eastAsia="es-ES"/>
        </w:rPr>
        <w:t xml:space="preserve">iónico. </w:t>
      </w:r>
      <w:r w:rsidR="001A331E" w:rsidRPr="00581C59">
        <w:rPr>
          <w:color w:val="000000"/>
          <w:lang w:eastAsia="es-ES"/>
        </w:rPr>
        <w:t>Algunas de l</w:t>
      </w:r>
      <w:r w:rsidR="001414D1" w:rsidRPr="00581C59">
        <w:rPr>
          <w:color w:val="000000"/>
          <w:lang w:eastAsia="es-ES"/>
        </w:rPr>
        <w:t xml:space="preserve">as membranas </w:t>
      </w:r>
      <w:r w:rsidR="001A331E" w:rsidRPr="00581C59">
        <w:rPr>
          <w:color w:val="000000"/>
          <w:lang w:eastAsia="es-ES"/>
        </w:rPr>
        <w:t>preparadas</w:t>
      </w:r>
      <w:r w:rsidR="001414D1" w:rsidRPr="00581C59">
        <w:rPr>
          <w:color w:val="000000"/>
          <w:lang w:eastAsia="es-ES"/>
        </w:rPr>
        <w:t xml:space="preserve"> tienen una permselectividad adecuada</w:t>
      </w:r>
      <w:r w:rsidR="00AA008A" w:rsidRPr="00581C59">
        <w:rPr>
          <w:color w:val="000000"/>
          <w:lang w:eastAsia="es-ES"/>
        </w:rPr>
        <w:t xml:space="preserve"> y comparable a membranas comerciales</w:t>
      </w:r>
      <w:r w:rsidR="001414D1" w:rsidRPr="00581C59">
        <w:rPr>
          <w:color w:val="000000"/>
          <w:lang w:eastAsia="es-ES"/>
        </w:rPr>
        <w:t xml:space="preserve">. </w:t>
      </w:r>
      <w:r w:rsidR="001A331E" w:rsidRPr="00581C59">
        <w:rPr>
          <w:color w:val="000000"/>
          <w:lang w:eastAsia="es-ES"/>
        </w:rPr>
        <w:t>Aunque l</w:t>
      </w:r>
      <w:r w:rsidR="001414D1" w:rsidRPr="00581C59">
        <w:rPr>
          <w:color w:val="000000"/>
          <w:lang w:eastAsia="es-ES"/>
        </w:rPr>
        <w:t xml:space="preserve">a resistencia eléctrica de las membranas </w:t>
      </w:r>
      <w:r w:rsidR="001A331E" w:rsidRPr="00581C59">
        <w:rPr>
          <w:color w:val="000000"/>
          <w:lang w:eastAsia="es-ES"/>
        </w:rPr>
        <w:t xml:space="preserve">es alta, </w:t>
      </w:r>
      <w:r w:rsidR="001414D1" w:rsidRPr="00581C59">
        <w:rPr>
          <w:color w:val="000000"/>
          <w:lang w:eastAsia="es-ES"/>
        </w:rPr>
        <w:t>puede ser disminuida mediante un postratamiento de activación</w:t>
      </w:r>
      <w:r w:rsidR="005D7804" w:rsidRPr="00581C59">
        <w:rPr>
          <w:color w:val="000000"/>
          <w:lang w:eastAsia="es-ES"/>
        </w:rPr>
        <w:t xml:space="preserve"> </w:t>
      </w:r>
      <w:r w:rsidR="00EC59F2" w:rsidRPr="00581C59">
        <w:rPr>
          <w:color w:val="000000"/>
          <w:lang w:eastAsia="es-ES"/>
        </w:rPr>
        <w:fldChar w:fldCharType="begin" w:fldLock="1"/>
      </w:r>
      <w:r w:rsidR="00EC59F2" w:rsidRPr="00581C59">
        <w:rPr>
          <w:color w:val="000000"/>
          <w:lang w:eastAsia="es-ES"/>
        </w:rPr>
        <w:instrText>ADDIN CSL_CITATION {"citationItems":[{"id":"ITEM-1","itemData":{"DOI":"10.1016/j.chemosphere.2020.126027","ISSN":"18791298","PMID":"32032875","abstract":"In this study, an activation treatment for recycled anion exchange membranes is proposed. Following the circular economy approach, these membranes were prepared by using end-of-life reverse osmosis membranes as mechanical support. The end-of-life membrane was previously used and discarded by desalination plants after overcoming its lifespan. The activation treatment was based on the subsequent immersion of the membranes in diluted acid and alkali solutions. This treatment promoted the complete dissociation of the functional groups in the membrane, making them more reactive to the counter ions. The effects of acid and alkali concentrations and exposition times on the electrochemical properties were studied and the best combination was selected. In such a way, a decrease of 37% in membrane electrical resistance was achieved. The performance of activated and non-activated membranes in brackish water desalination by electrodialysis was compared. The results showed that the proposed activation treatment increased the flux of fresh water more than four-fold (from 1.2 to 4.9 L h−1·m−2), with a considerable reduction of energy consumption (from 5.2 to 3.0 kWh·m−3) and a great improvement in current efficiency (from 38% to 71%). In conclusion, this work shows a simple and low cost methodology for the improvement of the electrochemical properties of recycled electromembranes and thus, their performance in electrodialysis.","author":[{"dropping-particle":"","family":"Lejarazu-Larrañaga","given":"Amaia","non-dropping-particle":"","parse-names":false,"suffix":""},{"dropping-particle":"","family":"Molina","given":"Serena","non-dropping-particle":"","parse-names":false,"suffix":""},{"dropping-particle":"","family":"Ortiz","given":"Juan Manuel","non-dropping-particle":"","parse-names":false,"suffix":""},{"dropping-particle":"","family":"Riccardelli","given":"Gerardo","non-dropping-particle":"","parse-names":false,"suffix":""},{"dropping-particle":"","family":"García-Calvo","given":"Eloy","non-dropping-particle":"","parse-names":false,"suffix":""}],"container-title":"Chemosphere","id":"ITEM-1","issued":{"date-parts":[["2020"]]},"page":"126027","title":"Influence of acid/base activation treatment in the performance of recycled electromembrane for fresh water production by electrodialysis","type":"article-journal","volume":"248"},"uris":["http://www.mendeley.com/documents/?uuid=e03c7c2c-6ba1-4045-a81e-d2d896218874"]}],"mendeley":{"formattedCitation":"(Lejarazu-Larrañaga, Molina, Ortiz, Riccardelli, et al., 2020)","plainTextFormattedCitation":"(Lejarazu-Larrañaga, Molina, Ortiz, Riccardelli, et al., 2020)"},"properties":{"noteIndex":0},"schema":"https://github.com/citation-style-language/schema/raw/master/csl-citation.json"}</w:instrText>
      </w:r>
      <w:r w:rsidR="00EC59F2" w:rsidRPr="00581C59">
        <w:rPr>
          <w:color w:val="000000"/>
          <w:lang w:eastAsia="es-ES"/>
        </w:rPr>
        <w:fldChar w:fldCharType="separate"/>
      </w:r>
      <w:r w:rsidR="00EC59F2" w:rsidRPr="00581C59">
        <w:rPr>
          <w:noProof/>
          <w:color w:val="000000"/>
          <w:lang w:eastAsia="es-ES"/>
        </w:rPr>
        <w:t>(Lejarazu-Larrañaga, Molina, Ortiz, Riccardelli, et al., 2020)</w:t>
      </w:r>
      <w:r w:rsidR="00EC59F2" w:rsidRPr="00581C59">
        <w:rPr>
          <w:color w:val="000000"/>
          <w:lang w:eastAsia="es-ES"/>
        </w:rPr>
        <w:fldChar w:fldCharType="end"/>
      </w:r>
      <w:r w:rsidR="001414D1" w:rsidRPr="00581C59">
        <w:rPr>
          <w:color w:val="000000"/>
          <w:lang w:eastAsia="es-ES"/>
        </w:rPr>
        <w:t xml:space="preserve">. </w:t>
      </w:r>
      <w:r w:rsidRPr="00581C59">
        <w:rPr>
          <w:color w:val="000000"/>
          <w:lang w:eastAsia="es-ES"/>
        </w:rPr>
        <w:t>De esta forma, se</w:t>
      </w:r>
      <w:r w:rsidR="00B51FCD" w:rsidRPr="00581C59">
        <w:rPr>
          <w:color w:val="000000"/>
          <w:lang w:eastAsia="es-ES"/>
        </w:rPr>
        <w:t xml:space="preserve"> </w:t>
      </w:r>
      <w:r w:rsidR="00E52F30" w:rsidRPr="00581C59">
        <w:rPr>
          <w:color w:val="000000"/>
          <w:lang w:eastAsia="es-ES"/>
        </w:rPr>
        <w:t>presenta un ejemplo de reciclaje indirecto de los módulos de OI al final de su vida útil, en un intento de acercar los procesos de filtración por</w:t>
      </w:r>
      <w:r w:rsidR="00E52F30">
        <w:rPr>
          <w:color w:val="000000"/>
          <w:lang w:eastAsia="es-ES"/>
        </w:rPr>
        <w:t xml:space="preserve"> membranas a una gestión</w:t>
      </w:r>
      <w:r w:rsidR="001C24DD">
        <w:rPr>
          <w:color w:val="000000"/>
          <w:lang w:eastAsia="es-ES"/>
        </w:rPr>
        <w:t xml:space="preserve"> </w:t>
      </w:r>
      <w:r w:rsidR="00E52F30">
        <w:rPr>
          <w:color w:val="000000"/>
          <w:lang w:eastAsia="es-ES"/>
        </w:rPr>
        <w:t>circular</w:t>
      </w:r>
      <w:r w:rsidR="001C24DD">
        <w:rPr>
          <w:color w:val="000000"/>
          <w:lang w:eastAsia="es-ES"/>
        </w:rPr>
        <w:t xml:space="preserve">, más </w:t>
      </w:r>
      <w:r w:rsidR="00E52F30">
        <w:rPr>
          <w:color w:val="000000"/>
          <w:lang w:eastAsia="es-ES"/>
        </w:rPr>
        <w:t>sostenible.</w:t>
      </w:r>
    </w:p>
    <w:p w14:paraId="5AB7A815" w14:textId="4E5BF1EC" w:rsidR="00EB4D17" w:rsidRDefault="00B83D0E" w:rsidP="493B35FF">
      <w:pPr>
        <w:spacing w:before="360" w:after="240" w:line="312" w:lineRule="auto"/>
        <w:jc w:val="both"/>
        <w:rPr>
          <w:b/>
          <w:bCs/>
          <w:sz w:val="28"/>
          <w:szCs w:val="28"/>
        </w:rPr>
      </w:pPr>
      <w:r w:rsidRPr="493B35FF">
        <w:rPr>
          <w:b/>
          <w:bCs/>
          <w:sz w:val="28"/>
          <w:szCs w:val="28"/>
        </w:rPr>
        <w:t>4.- Conclusiones</w:t>
      </w:r>
    </w:p>
    <w:p w14:paraId="7C4E130F" w14:textId="3231E586" w:rsidR="000C2464" w:rsidRPr="00D525A1" w:rsidRDefault="00964D54" w:rsidP="00991C50">
      <w:pPr>
        <w:pStyle w:val="08text"/>
        <w:spacing w:before="120" w:line="312" w:lineRule="auto"/>
        <w:ind w:firstLine="720"/>
        <w:rPr>
          <w:lang w:val="es-ES"/>
        </w:rPr>
      </w:pPr>
      <w:r>
        <w:rPr>
          <w:lang w:val="es-ES"/>
        </w:rPr>
        <w:t xml:space="preserve">En este estudio preliminar, podemos concluir que el soporte </w:t>
      </w:r>
      <w:r w:rsidR="001C24DD">
        <w:rPr>
          <w:lang w:val="es-ES"/>
        </w:rPr>
        <w:t>más</w:t>
      </w:r>
      <w:r>
        <w:rPr>
          <w:lang w:val="es-ES"/>
        </w:rPr>
        <w:t xml:space="preserve"> adecuado para la preparación de membranas de intercambio </w:t>
      </w:r>
      <w:r w:rsidR="00485142">
        <w:rPr>
          <w:lang w:val="es-ES"/>
        </w:rPr>
        <w:t xml:space="preserve">aniónico </w:t>
      </w:r>
      <w:r w:rsidR="001D7FE4">
        <w:rPr>
          <w:lang w:val="es-ES"/>
        </w:rPr>
        <w:t>bajo estas condiciones</w:t>
      </w:r>
      <w:r w:rsidR="00485142">
        <w:rPr>
          <w:lang w:val="es-ES"/>
        </w:rPr>
        <w:t xml:space="preserve"> y</w:t>
      </w:r>
      <w:r>
        <w:rPr>
          <w:lang w:val="es-ES"/>
        </w:rPr>
        <w:t xml:space="preserve"> entre los componentes reciclados que se han </w:t>
      </w:r>
      <w:r w:rsidR="001D7FE4">
        <w:rPr>
          <w:lang w:val="es-ES"/>
        </w:rPr>
        <w:t>estudiado</w:t>
      </w:r>
      <w:r w:rsidR="00485142">
        <w:rPr>
          <w:lang w:val="es-ES"/>
        </w:rPr>
        <w:t>,</w:t>
      </w:r>
      <w:r>
        <w:rPr>
          <w:lang w:val="es-ES"/>
        </w:rPr>
        <w:t xml:space="preserve"> es la membrana reciclada con propiedades de UF. </w:t>
      </w:r>
      <w:r w:rsidR="00B7750C">
        <w:rPr>
          <w:lang w:val="es-ES"/>
        </w:rPr>
        <w:t>Utilizando estas membranas como soporte, pueden obtenerse membranas con alta permselectividad</w:t>
      </w:r>
      <w:r w:rsidR="00A634DD">
        <w:rPr>
          <w:lang w:val="es-ES"/>
        </w:rPr>
        <w:t>. S</w:t>
      </w:r>
      <w:r w:rsidR="00B7750C">
        <w:rPr>
          <w:lang w:val="es-ES"/>
        </w:rPr>
        <w:t>in embargo, la alta resistencia eléctrica de esta</w:t>
      </w:r>
      <w:r w:rsidR="00A634DD">
        <w:rPr>
          <w:lang w:val="es-ES"/>
        </w:rPr>
        <w:t>s</w:t>
      </w:r>
      <w:r w:rsidR="00B7750C">
        <w:rPr>
          <w:lang w:val="es-ES"/>
        </w:rPr>
        <w:t xml:space="preserve"> membrana</w:t>
      </w:r>
      <w:r w:rsidR="00A634DD">
        <w:rPr>
          <w:lang w:val="es-ES"/>
        </w:rPr>
        <w:t>s</w:t>
      </w:r>
      <w:r w:rsidR="00B7750C">
        <w:rPr>
          <w:lang w:val="es-ES"/>
        </w:rPr>
        <w:t xml:space="preserve"> supondría un mayor consumo energético en un proceso de electro-separación</w:t>
      </w:r>
      <w:r w:rsidR="00AA008A">
        <w:rPr>
          <w:lang w:val="es-ES"/>
        </w:rPr>
        <w:t>.</w:t>
      </w:r>
      <w:r w:rsidR="00581C59">
        <w:rPr>
          <w:lang w:val="es-ES"/>
        </w:rPr>
        <w:t xml:space="preserve"> La resistencia eléctrica puede ser reducida mediante un tratamiento de activación</w:t>
      </w:r>
      <w:r w:rsidR="00EB71E4">
        <w:rPr>
          <w:lang w:val="es-ES"/>
        </w:rPr>
        <w:t xml:space="preserve"> como ya se ha estudiado. Sin </w:t>
      </w:r>
      <w:r w:rsidR="00FE3416">
        <w:rPr>
          <w:lang w:val="es-ES"/>
        </w:rPr>
        <w:t>embargo,</w:t>
      </w:r>
      <w:r w:rsidR="00EB71E4">
        <w:rPr>
          <w:lang w:val="es-ES"/>
        </w:rPr>
        <w:t xml:space="preserve"> en futuros trabajos se estudiará como</w:t>
      </w:r>
      <w:r w:rsidR="00581C59">
        <w:rPr>
          <w:lang w:val="es-ES"/>
        </w:rPr>
        <w:t xml:space="preserve"> alternativa </w:t>
      </w:r>
      <w:r w:rsidR="00EB71E4">
        <w:rPr>
          <w:lang w:val="es-ES"/>
        </w:rPr>
        <w:t xml:space="preserve">la </w:t>
      </w:r>
      <w:r w:rsidR="00581C59">
        <w:rPr>
          <w:lang w:val="es-ES"/>
        </w:rPr>
        <w:t>utiliza</w:t>
      </w:r>
      <w:r w:rsidR="00EB71E4">
        <w:rPr>
          <w:lang w:val="es-ES"/>
        </w:rPr>
        <w:t>ción de</w:t>
      </w:r>
      <w:r w:rsidR="00581C59">
        <w:rPr>
          <w:lang w:val="es-ES"/>
        </w:rPr>
        <w:t xml:space="preserve"> estas membranas en procesos de transporte pasivos, donde </w:t>
      </w:r>
      <w:r w:rsidR="003B69DC">
        <w:rPr>
          <w:lang w:val="es-ES"/>
        </w:rPr>
        <w:t xml:space="preserve">no sea necesaria la aplicación de un potencial eléctrico para generar el transporte iónico. </w:t>
      </w:r>
    </w:p>
    <w:p w14:paraId="7C02D5BB" w14:textId="18314159" w:rsidR="00EB4D17" w:rsidRDefault="00B83D0E" w:rsidP="493B35FF">
      <w:pPr>
        <w:spacing w:before="360" w:after="240" w:line="312" w:lineRule="auto"/>
        <w:jc w:val="both"/>
        <w:rPr>
          <w:b/>
          <w:bCs/>
          <w:sz w:val="28"/>
          <w:szCs w:val="28"/>
        </w:rPr>
      </w:pPr>
      <w:r w:rsidRPr="493B35FF">
        <w:rPr>
          <w:b/>
          <w:bCs/>
          <w:sz w:val="28"/>
          <w:szCs w:val="28"/>
        </w:rPr>
        <w:t>5.- Bibliografía</w:t>
      </w:r>
    </w:p>
    <w:p w14:paraId="7CEF6E8D" w14:textId="7FC2BA1F" w:rsidR="00EF4ACF" w:rsidRPr="00EF4ACF" w:rsidRDefault="00EF4ACF" w:rsidP="00EF4ACF">
      <w:pPr>
        <w:spacing w:before="120" w:line="312" w:lineRule="auto"/>
        <w:ind w:firstLine="720"/>
        <w:jc w:val="both"/>
      </w:pPr>
      <w:proofErr w:type="spellStart"/>
      <w:r w:rsidRPr="00EF4ACF">
        <w:lastRenderedPageBreak/>
        <w:t>Brožová</w:t>
      </w:r>
      <w:proofErr w:type="spellEnd"/>
      <w:r w:rsidRPr="00EF4ACF">
        <w:t xml:space="preserve">, L., </w:t>
      </w:r>
      <w:proofErr w:type="spellStart"/>
      <w:r w:rsidRPr="00EF4ACF">
        <w:t>Křivčík</w:t>
      </w:r>
      <w:proofErr w:type="spellEnd"/>
      <w:r w:rsidRPr="00EF4ACF">
        <w:t xml:space="preserve">, J., </w:t>
      </w:r>
      <w:proofErr w:type="spellStart"/>
      <w:r w:rsidRPr="00EF4ACF">
        <w:t>Neděla</w:t>
      </w:r>
      <w:proofErr w:type="spellEnd"/>
      <w:r w:rsidRPr="00EF4ACF">
        <w:t xml:space="preserve">, D., </w:t>
      </w:r>
      <w:proofErr w:type="spellStart"/>
      <w:r w:rsidRPr="00EF4ACF">
        <w:t>Kysela</w:t>
      </w:r>
      <w:proofErr w:type="spellEnd"/>
      <w:r w:rsidRPr="00EF4ACF">
        <w:t xml:space="preserve">, V., &amp; </w:t>
      </w:r>
      <w:proofErr w:type="spellStart"/>
      <w:r w:rsidRPr="00EF4ACF">
        <w:t>Žitka</w:t>
      </w:r>
      <w:proofErr w:type="spellEnd"/>
      <w:r w:rsidRPr="00EF4ACF">
        <w:t xml:space="preserve">, J. (2015). </w:t>
      </w:r>
      <w:r w:rsidRPr="003B69DC">
        <w:rPr>
          <w:lang w:val="en-US"/>
        </w:rPr>
        <w:t xml:space="preserve">The influence of activation of heterogeneous ion- exchange membranes on their electrochemical properties. </w:t>
      </w:r>
      <w:proofErr w:type="spellStart"/>
      <w:r w:rsidRPr="00EF4ACF">
        <w:t>Desalination</w:t>
      </w:r>
      <w:proofErr w:type="spellEnd"/>
      <w:r w:rsidRPr="00EF4ACF">
        <w:t xml:space="preserve"> and </w:t>
      </w:r>
      <w:proofErr w:type="spellStart"/>
      <w:r w:rsidRPr="00EF4ACF">
        <w:t>Water</w:t>
      </w:r>
      <w:proofErr w:type="spellEnd"/>
      <w:r w:rsidRPr="00EF4ACF">
        <w:t xml:space="preserve"> </w:t>
      </w:r>
      <w:proofErr w:type="spellStart"/>
      <w:r w:rsidRPr="00EF4ACF">
        <w:t>Treatment</w:t>
      </w:r>
      <w:proofErr w:type="spellEnd"/>
      <w:r w:rsidRPr="00EF4ACF">
        <w:t xml:space="preserve">, 56:12, 3228–3232. </w:t>
      </w:r>
    </w:p>
    <w:p w14:paraId="08710020" w14:textId="6C6B27E0" w:rsidR="00EF4ACF" w:rsidRPr="00581C59" w:rsidRDefault="00EF4ACF" w:rsidP="00EF4ACF">
      <w:pPr>
        <w:spacing w:before="120" w:line="312" w:lineRule="auto"/>
        <w:ind w:firstLine="720"/>
        <w:jc w:val="both"/>
        <w:rPr>
          <w:lang w:val="en-US"/>
        </w:rPr>
      </w:pPr>
      <w:r w:rsidRPr="00EF4ACF">
        <w:t xml:space="preserve">García-Pacheco, R., Landaburu-Aguirre, J., Molina, S., Rodríguez-Sáez, L., </w:t>
      </w:r>
      <w:proofErr w:type="spellStart"/>
      <w:r w:rsidRPr="00EF4ACF">
        <w:t>Teli</w:t>
      </w:r>
      <w:proofErr w:type="spellEnd"/>
      <w:r w:rsidRPr="00EF4ACF">
        <w:t xml:space="preserve">, S. B., &amp; García-Calvo, E. (2015). </w:t>
      </w:r>
      <w:r w:rsidRPr="00581C59">
        <w:rPr>
          <w:lang w:val="en-US"/>
        </w:rPr>
        <w:t xml:space="preserve">Transformation of end-of-life RO membranes into NF and UF membranes: Evaluation of membrane performance. Journal of Membrane Science, 495, 305–315. </w:t>
      </w:r>
    </w:p>
    <w:p w14:paraId="721E8A7D" w14:textId="65E5BCE0" w:rsidR="00EF4ACF" w:rsidRPr="00581C59" w:rsidRDefault="00EF4ACF" w:rsidP="00EF4ACF">
      <w:pPr>
        <w:spacing w:before="120" w:line="312" w:lineRule="auto"/>
        <w:ind w:firstLine="720"/>
        <w:jc w:val="both"/>
        <w:rPr>
          <w:lang w:val="en-US"/>
        </w:rPr>
      </w:pPr>
      <w:r w:rsidRPr="00581C59">
        <w:rPr>
          <w:lang w:val="en-US"/>
        </w:rPr>
        <w:t xml:space="preserve">Hosseini, S. M., Jashni, E., Habibi, M., Nemati, M., &amp; Van der Bruggen, B. (2017). Evaluating the ion transport characteristics of novel graphene oxide nanoplates entrapped mixed matrix cation exchange membranes in water deionization. Journal of Membrane Science, 541, 641–652. </w:t>
      </w:r>
    </w:p>
    <w:p w14:paraId="18B3C676" w14:textId="77777777" w:rsidR="00EF4ACF" w:rsidRPr="00581C59" w:rsidRDefault="00EF4ACF" w:rsidP="00EF4ACF">
      <w:pPr>
        <w:spacing w:before="120" w:line="312" w:lineRule="auto"/>
        <w:ind w:firstLine="720"/>
        <w:jc w:val="both"/>
        <w:rPr>
          <w:lang w:val="en-US"/>
        </w:rPr>
      </w:pPr>
      <w:r w:rsidRPr="00581C59">
        <w:rPr>
          <w:lang w:val="en-US"/>
        </w:rPr>
        <w:t>IDA. (2019). Yearbook 2018-2019, Water desalination report.</w:t>
      </w:r>
    </w:p>
    <w:p w14:paraId="43D169D2" w14:textId="398BCAFF" w:rsidR="00EF4ACF" w:rsidRPr="00EF4ACF" w:rsidRDefault="00EF4ACF" w:rsidP="00EF4ACF">
      <w:pPr>
        <w:spacing w:before="120" w:line="312" w:lineRule="auto"/>
        <w:ind w:firstLine="720"/>
        <w:jc w:val="both"/>
      </w:pPr>
      <w:proofErr w:type="spellStart"/>
      <w:r w:rsidRPr="00581C59">
        <w:rPr>
          <w:lang w:val="en-US"/>
        </w:rPr>
        <w:t>Landaburu</w:t>
      </w:r>
      <w:proofErr w:type="spellEnd"/>
      <w:r w:rsidRPr="00581C59">
        <w:rPr>
          <w:lang w:val="en-US"/>
        </w:rPr>
        <w:t xml:space="preserve">-Aguirre, J., García-Pacheco, R., Molina, S., Rodríguez-Sáez, L., </w:t>
      </w:r>
      <w:proofErr w:type="spellStart"/>
      <w:r w:rsidRPr="00581C59">
        <w:rPr>
          <w:lang w:val="en-US"/>
        </w:rPr>
        <w:t>Rabadán</w:t>
      </w:r>
      <w:proofErr w:type="spellEnd"/>
      <w:r w:rsidRPr="00581C59">
        <w:rPr>
          <w:lang w:val="en-US"/>
        </w:rPr>
        <w:t xml:space="preserve">, J., &amp; García-Calvo, E. (2016). Fouling prevention, preparing for re-use and membrane recycling. Towards circular economy in RO desalination. </w:t>
      </w:r>
      <w:proofErr w:type="spellStart"/>
      <w:r w:rsidRPr="00EF4ACF">
        <w:t>Desalination</w:t>
      </w:r>
      <w:proofErr w:type="spellEnd"/>
      <w:r w:rsidRPr="00EF4ACF">
        <w:t xml:space="preserve">, 393, 16–30. </w:t>
      </w:r>
    </w:p>
    <w:p w14:paraId="53D565AB" w14:textId="42F76883" w:rsidR="00EF4ACF" w:rsidRPr="00581C59" w:rsidRDefault="00EF4ACF" w:rsidP="00EF4ACF">
      <w:pPr>
        <w:spacing w:before="120" w:line="312" w:lineRule="auto"/>
        <w:ind w:firstLine="720"/>
        <w:jc w:val="both"/>
        <w:rPr>
          <w:lang w:val="en-US"/>
        </w:rPr>
      </w:pPr>
      <w:r w:rsidRPr="00EF4ACF">
        <w:t xml:space="preserve">Lejarazu-Larrañaga, A., Molina, S., Ortiz, J. M., Navarro, R., &amp; García-Calvo, E. (2020). </w:t>
      </w:r>
      <w:r w:rsidRPr="00581C59">
        <w:rPr>
          <w:lang w:val="en-US"/>
        </w:rPr>
        <w:t xml:space="preserve">Circular economy in membrane technology: Using end-of-life reverse osmosis modules for preparation of recycled anion exchange membranes and validation in electrodialysis. Journal of Membrane Science, 593(July 2019), 117423. </w:t>
      </w:r>
    </w:p>
    <w:p w14:paraId="3CAA3CCB" w14:textId="1A127D35" w:rsidR="00EF4ACF" w:rsidRPr="00EF4ACF" w:rsidRDefault="00EF4ACF" w:rsidP="00EF4ACF">
      <w:pPr>
        <w:spacing w:before="120" w:line="312" w:lineRule="auto"/>
        <w:ind w:firstLine="720"/>
        <w:jc w:val="both"/>
        <w:rPr>
          <w:lang w:val="en-US"/>
        </w:rPr>
      </w:pPr>
      <w:r w:rsidRPr="00581C59">
        <w:rPr>
          <w:lang w:val="en-US"/>
        </w:rPr>
        <w:t xml:space="preserve">Lejarazu-Larrañaga, A., Molina, S., Ortiz, J. M., Riccardelli, G., &amp; García-Calvo, E. (2020). </w:t>
      </w:r>
      <w:r w:rsidRPr="00EF4ACF">
        <w:rPr>
          <w:lang w:val="en-US"/>
        </w:rPr>
        <w:t xml:space="preserve">Influence of acid/base activation treatment in the performance of recycled electromembrane for freshwater production by electrodialysis. Chemosphere, 248, 126027. </w:t>
      </w:r>
    </w:p>
    <w:p w14:paraId="2EF292C8" w14:textId="525A1D04" w:rsidR="00EB4D17" w:rsidRPr="00EF4ACF" w:rsidRDefault="00EF4ACF" w:rsidP="00EF4ACF">
      <w:pPr>
        <w:spacing w:before="120" w:line="312" w:lineRule="auto"/>
        <w:ind w:firstLine="720"/>
        <w:jc w:val="both"/>
      </w:pPr>
      <w:r w:rsidRPr="00581C59">
        <w:rPr>
          <w:lang w:val="en-US"/>
        </w:rPr>
        <w:t xml:space="preserve">Schauer, J., </w:t>
      </w:r>
      <w:proofErr w:type="spellStart"/>
      <w:r w:rsidRPr="00581C59">
        <w:rPr>
          <w:lang w:val="en-US"/>
        </w:rPr>
        <w:t>Hnát</w:t>
      </w:r>
      <w:proofErr w:type="spellEnd"/>
      <w:r w:rsidRPr="00581C59">
        <w:rPr>
          <w:lang w:val="en-US"/>
        </w:rPr>
        <w:t xml:space="preserve">, J., Brožová, L., </w:t>
      </w:r>
      <w:proofErr w:type="spellStart"/>
      <w:r w:rsidRPr="00581C59">
        <w:rPr>
          <w:lang w:val="en-US"/>
        </w:rPr>
        <w:t>Žitka</w:t>
      </w:r>
      <w:proofErr w:type="spellEnd"/>
      <w:r w:rsidRPr="00581C59">
        <w:rPr>
          <w:lang w:val="en-US"/>
        </w:rPr>
        <w:t xml:space="preserve">, J., &amp; Bouzek, K. (2012). Heterogeneous anion-selective membranes: Influence of a water-soluble component in the membrane on the morphology and ionic conductivity. </w:t>
      </w:r>
      <w:proofErr w:type="spellStart"/>
      <w:r w:rsidRPr="00EF4ACF">
        <w:t>Journal</w:t>
      </w:r>
      <w:proofErr w:type="spellEnd"/>
      <w:r w:rsidRPr="00EF4ACF">
        <w:t xml:space="preserve"> </w:t>
      </w:r>
      <w:proofErr w:type="spellStart"/>
      <w:r w:rsidRPr="00EF4ACF">
        <w:t>of</w:t>
      </w:r>
      <w:proofErr w:type="spellEnd"/>
      <w:r w:rsidRPr="00EF4ACF">
        <w:t xml:space="preserve"> </w:t>
      </w:r>
      <w:proofErr w:type="spellStart"/>
      <w:r w:rsidRPr="00EF4ACF">
        <w:t>Membrane</w:t>
      </w:r>
      <w:proofErr w:type="spellEnd"/>
      <w:r w:rsidRPr="00EF4ACF">
        <w:t xml:space="preserve"> </w:t>
      </w:r>
      <w:proofErr w:type="spellStart"/>
      <w:r w:rsidRPr="00EF4ACF">
        <w:t>Science</w:t>
      </w:r>
      <w:proofErr w:type="spellEnd"/>
      <w:r w:rsidRPr="00EF4ACF">
        <w:t xml:space="preserve">, 401–402, 83–88. </w:t>
      </w:r>
    </w:p>
    <w:sectPr w:rsidR="00EB4D17" w:rsidRPr="00EF4ACF">
      <w:pgSz w:w="9639" w:h="13608"/>
      <w:pgMar w:top="1134" w:right="851" w:bottom="1134" w:left="851" w:header="0" w:footer="0" w:gutter="0"/>
      <w:cols w:space="720"/>
      <w:formProt w:val="0"/>
      <w:docGrid w:linePitch="600" w:charSpace="-635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C946E2" w14:textId="77777777" w:rsidR="00492E5E" w:rsidRDefault="00492E5E" w:rsidP="00AA2057">
      <w:r>
        <w:separator/>
      </w:r>
    </w:p>
  </w:endnote>
  <w:endnote w:type="continuationSeparator" w:id="0">
    <w:p w14:paraId="4104A58B" w14:textId="77777777" w:rsidR="00492E5E" w:rsidRDefault="00492E5E" w:rsidP="00AA2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1"/>
    <w:family w:val="roman"/>
    <w:pitch w:val="variable"/>
  </w:font>
  <w:font w:name="Droid Sans Fallback">
    <w:panose1 w:val="00000000000000000000"/>
    <w:charset w:val="00"/>
    <w:family w:val="roman"/>
    <w:notTrueType/>
    <w:pitch w:val="default"/>
  </w:font>
  <w:font w:name="FreeSans">
    <w:altName w:val="Cambria"/>
    <w:panose1 w:val="00000000000000000000"/>
    <w:charset w:val="00"/>
    <w:family w:val="roman"/>
    <w:notTrueType/>
    <w:pitch w:val="default"/>
  </w:font>
  <w:font w:name="StarSymbol;Arial Unicode MS">
    <w:altName w:val="Cambria"/>
    <w:panose1 w:val="00000000000000000000"/>
    <w:charset w:val="00"/>
    <w:family w:val="roman"/>
    <w:notTrueType/>
    <w:pitch w:val="default"/>
  </w:font>
  <w:font w:name="OpenSymbol;Arial Unicode MS">
    <w:panose1 w:val="00000000000000000000"/>
    <w:charset w:val="00"/>
    <w:family w:val="roman"/>
    <w:notTrueType/>
    <w:pitch w:val="default"/>
  </w:font>
  <w:font w:name="OpenSymbol">
    <w:altName w:val="Arial Unicode MS"/>
    <w:charset w:val="01"/>
    <w:family w:val="roman"/>
    <w:pitch w:val="variable"/>
  </w:font>
  <w:font w:name="Segoe UI">
    <w:panose1 w:val="020B0502040204020203"/>
    <w:charset w:val="00"/>
    <w:family w:val="swiss"/>
    <w:pitch w:val="variable"/>
    <w:sig w:usb0="E4002EFF" w:usb1="C000E47F" w:usb2="00000009" w:usb3="00000000" w:csb0="000001FF" w:csb1="00000000"/>
  </w:font>
  <w:font w:name="Nimbus Sans L;Arial">
    <w:panose1 w:val="00000000000000000000"/>
    <w:charset w:val="00"/>
    <w:family w:val="roman"/>
    <w:notTrueType/>
    <w:pitch w:val="default"/>
  </w:font>
  <w:font w:name="DejaVu Sans;Arial Unicode MS">
    <w:altName w:val="Verdana"/>
    <w:panose1 w:val="00000000000000000000"/>
    <w:charset w:val="00"/>
    <w:family w:val="roman"/>
    <w:notTrueType/>
    <w:pitch w:val="default"/>
  </w:font>
  <w:font w:name="Lohit Devanagari">
    <w:altName w:val="Cambria"/>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imes New Roman PS">
    <w:altName w:val="Cambria"/>
    <w:panose1 w:val="00000000000000000000"/>
    <w:charset w:val="4D"/>
    <w:family w:val="roman"/>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42A56" w14:textId="77777777" w:rsidR="00492E5E" w:rsidRDefault="00492E5E" w:rsidP="00AA2057">
      <w:r>
        <w:separator/>
      </w:r>
    </w:p>
  </w:footnote>
  <w:footnote w:type="continuationSeparator" w:id="0">
    <w:p w14:paraId="0FE44B64" w14:textId="77777777" w:rsidR="00492E5E" w:rsidRDefault="00492E5E" w:rsidP="00AA205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C73C1B"/>
    <w:multiLevelType w:val="multilevel"/>
    <w:tmpl w:val="113C9D46"/>
    <w:lvl w:ilvl="0">
      <w:start w:val="1"/>
      <w:numFmt w:val="bullet"/>
      <w:lvlText w:val="-"/>
      <w:lvlJc w:val="left"/>
      <w:pPr>
        <w:ind w:left="720" w:hanging="360"/>
      </w:pPr>
      <w:rPr>
        <w:rFonts w:ascii="Times New Roman" w:hAnsi="Times New Roman"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15:restartNumberingAfterBreak="0">
    <w:nsid w:val="40D56D2A"/>
    <w:multiLevelType w:val="multilevel"/>
    <w:tmpl w:val="DF6A707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04"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460E58B7"/>
    <w:multiLevelType w:val="multilevel"/>
    <w:tmpl w:val="799E1B94"/>
    <w:lvl w:ilvl="0">
      <w:start w:val="1"/>
      <w:numFmt w:val="bullet"/>
      <w:lvlText w:val=""/>
      <w:lvlJc w:val="left"/>
      <w:pPr>
        <w:tabs>
          <w:tab w:val="num" w:pos="720"/>
        </w:tabs>
        <w:ind w:left="720" w:hanging="360"/>
      </w:pPr>
      <w:rPr>
        <w:rFonts w:ascii="Symbol" w:hAnsi="Symbol" w:cs="Symbol" w:hint="default"/>
        <w:b/>
        <w:sz w:val="18"/>
        <w:szCs w:val="18"/>
      </w:rPr>
    </w:lvl>
    <w:lvl w:ilvl="1">
      <w:start w:val="1"/>
      <w:numFmt w:val="bullet"/>
      <w:lvlText w:val=""/>
      <w:lvlJc w:val="left"/>
      <w:pPr>
        <w:tabs>
          <w:tab w:val="num" w:pos="1080"/>
        </w:tabs>
        <w:ind w:left="1080" w:hanging="360"/>
      </w:pPr>
      <w:rPr>
        <w:rFonts w:ascii="Symbol" w:hAnsi="Symbol" w:cs="Symbol" w:hint="default"/>
        <w:sz w:val="18"/>
        <w:szCs w:val="18"/>
      </w:rPr>
    </w:lvl>
    <w:lvl w:ilvl="2">
      <w:start w:val="1"/>
      <w:numFmt w:val="bullet"/>
      <w:lvlText w:val=""/>
      <w:lvlJc w:val="left"/>
      <w:pPr>
        <w:tabs>
          <w:tab w:val="num" w:pos="1440"/>
        </w:tabs>
        <w:ind w:left="1440" w:hanging="360"/>
      </w:pPr>
      <w:rPr>
        <w:rFonts w:ascii="Symbol" w:hAnsi="Symbol" w:cs="Symbol" w:hint="default"/>
        <w:sz w:val="18"/>
        <w:szCs w:val="18"/>
      </w:rPr>
    </w:lvl>
    <w:lvl w:ilvl="3">
      <w:start w:val="1"/>
      <w:numFmt w:val="bullet"/>
      <w:lvlText w:val=""/>
      <w:lvlJc w:val="left"/>
      <w:pPr>
        <w:tabs>
          <w:tab w:val="num" w:pos="1800"/>
        </w:tabs>
        <w:ind w:left="1800" w:hanging="360"/>
      </w:pPr>
      <w:rPr>
        <w:rFonts w:ascii="Symbol" w:hAnsi="Symbol" w:cs="Symbol" w:hint="default"/>
        <w:sz w:val="18"/>
        <w:szCs w:val="18"/>
      </w:rPr>
    </w:lvl>
    <w:lvl w:ilvl="4">
      <w:start w:val="1"/>
      <w:numFmt w:val="bullet"/>
      <w:lvlText w:val=""/>
      <w:lvlJc w:val="left"/>
      <w:pPr>
        <w:tabs>
          <w:tab w:val="num" w:pos="2160"/>
        </w:tabs>
        <w:ind w:left="2160" w:hanging="360"/>
      </w:pPr>
      <w:rPr>
        <w:rFonts w:ascii="Symbol" w:hAnsi="Symbol" w:cs="Symbol" w:hint="default"/>
        <w:sz w:val="18"/>
        <w:szCs w:val="18"/>
      </w:rPr>
    </w:lvl>
    <w:lvl w:ilvl="5">
      <w:start w:val="1"/>
      <w:numFmt w:val="bullet"/>
      <w:lvlText w:val=""/>
      <w:lvlJc w:val="left"/>
      <w:pPr>
        <w:tabs>
          <w:tab w:val="num" w:pos="2520"/>
        </w:tabs>
        <w:ind w:left="2520" w:hanging="360"/>
      </w:pPr>
      <w:rPr>
        <w:rFonts w:ascii="Symbol" w:hAnsi="Symbol" w:cs="Symbol" w:hint="default"/>
        <w:sz w:val="18"/>
        <w:szCs w:val="18"/>
      </w:rPr>
    </w:lvl>
    <w:lvl w:ilvl="6">
      <w:start w:val="1"/>
      <w:numFmt w:val="bullet"/>
      <w:lvlText w:val=""/>
      <w:lvlJc w:val="left"/>
      <w:pPr>
        <w:tabs>
          <w:tab w:val="num" w:pos="2880"/>
        </w:tabs>
        <w:ind w:left="2880" w:hanging="360"/>
      </w:pPr>
      <w:rPr>
        <w:rFonts w:ascii="Symbol" w:hAnsi="Symbol" w:cs="Symbol" w:hint="default"/>
        <w:sz w:val="18"/>
        <w:szCs w:val="18"/>
      </w:rPr>
    </w:lvl>
    <w:lvl w:ilvl="7">
      <w:start w:val="1"/>
      <w:numFmt w:val="bullet"/>
      <w:lvlText w:val=""/>
      <w:lvlJc w:val="left"/>
      <w:pPr>
        <w:tabs>
          <w:tab w:val="num" w:pos="3240"/>
        </w:tabs>
        <w:ind w:left="3240" w:hanging="360"/>
      </w:pPr>
      <w:rPr>
        <w:rFonts w:ascii="Symbol" w:hAnsi="Symbol" w:cs="Symbol" w:hint="default"/>
        <w:sz w:val="18"/>
        <w:szCs w:val="18"/>
      </w:rPr>
    </w:lvl>
    <w:lvl w:ilvl="8">
      <w:start w:val="1"/>
      <w:numFmt w:val="bullet"/>
      <w:lvlText w:val=""/>
      <w:lvlJc w:val="left"/>
      <w:pPr>
        <w:tabs>
          <w:tab w:val="num" w:pos="3600"/>
        </w:tabs>
        <w:ind w:left="3600" w:hanging="360"/>
      </w:pPr>
      <w:rPr>
        <w:rFonts w:ascii="Symbol" w:hAnsi="Symbol" w:cs="Symbol" w:hint="default"/>
        <w:sz w:val="18"/>
        <w:szCs w:val="18"/>
      </w:rPr>
    </w:lvl>
  </w:abstractNum>
  <w:abstractNum w:abstractNumId="3" w15:restartNumberingAfterBreak="0">
    <w:nsid w:val="4895481B"/>
    <w:multiLevelType w:val="multilevel"/>
    <w:tmpl w:val="F118ED4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15:restartNumberingAfterBreak="0">
    <w:nsid w:val="7986689B"/>
    <w:multiLevelType w:val="multilevel"/>
    <w:tmpl w:val="B2AC24D0"/>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abstractNumId w:val="2"/>
  </w:num>
  <w:num w:numId="2">
    <w:abstractNumId w:val="0"/>
  </w:num>
  <w:num w:numId="3">
    <w:abstractNumId w:val="4"/>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4D17"/>
    <w:rsid w:val="00020589"/>
    <w:rsid w:val="000206F8"/>
    <w:rsid w:val="000322C2"/>
    <w:rsid w:val="00033624"/>
    <w:rsid w:val="00053FB9"/>
    <w:rsid w:val="00054B1F"/>
    <w:rsid w:val="0007770A"/>
    <w:rsid w:val="00091DC5"/>
    <w:rsid w:val="000A4779"/>
    <w:rsid w:val="000A711E"/>
    <w:rsid w:val="000A7CCF"/>
    <w:rsid w:val="000B2C3F"/>
    <w:rsid w:val="000B4E73"/>
    <w:rsid w:val="000C0ED4"/>
    <w:rsid w:val="000C2464"/>
    <w:rsid w:val="000D380C"/>
    <w:rsid w:val="000E6FB2"/>
    <w:rsid w:val="000F0564"/>
    <w:rsid w:val="0010666F"/>
    <w:rsid w:val="00110236"/>
    <w:rsid w:val="0011516F"/>
    <w:rsid w:val="001205C0"/>
    <w:rsid w:val="00133551"/>
    <w:rsid w:val="00136713"/>
    <w:rsid w:val="001414D1"/>
    <w:rsid w:val="00142BEF"/>
    <w:rsid w:val="00146A6B"/>
    <w:rsid w:val="00175D42"/>
    <w:rsid w:val="001814C9"/>
    <w:rsid w:val="001859BD"/>
    <w:rsid w:val="00186CC4"/>
    <w:rsid w:val="00191899"/>
    <w:rsid w:val="00194823"/>
    <w:rsid w:val="00195E4E"/>
    <w:rsid w:val="00197AF4"/>
    <w:rsid w:val="001A331E"/>
    <w:rsid w:val="001A383F"/>
    <w:rsid w:val="001A3A1D"/>
    <w:rsid w:val="001A72A8"/>
    <w:rsid w:val="001B3EA2"/>
    <w:rsid w:val="001C0338"/>
    <w:rsid w:val="001C24DD"/>
    <w:rsid w:val="001C445B"/>
    <w:rsid w:val="001C63E7"/>
    <w:rsid w:val="001D7FE4"/>
    <w:rsid w:val="001E1D8D"/>
    <w:rsid w:val="00200D4E"/>
    <w:rsid w:val="00201224"/>
    <w:rsid w:val="00206DE7"/>
    <w:rsid w:val="0021059B"/>
    <w:rsid w:val="002209B2"/>
    <w:rsid w:val="0024363F"/>
    <w:rsid w:val="00243A12"/>
    <w:rsid w:val="0025293A"/>
    <w:rsid w:val="00263BE5"/>
    <w:rsid w:val="002755D2"/>
    <w:rsid w:val="002905F2"/>
    <w:rsid w:val="002B7809"/>
    <w:rsid w:val="002C20FB"/>
    <w:rsid w:val="002D189B"/>
    <w:rsid w:val="002E0502"/>
    <w:rsid w:val="002F1CC0"/>
    <w:rsid w:val="002F1FB8"/>
    <w:rsid w:val="002F5A19"/>
    <w:rsid w:val="002F621E"/>
    <w:rsid w:val="002F7AFD"/>
    <w:rsid w:val="0031120B"/>
    <w:rsid w:val="00316E30"/>
    <w:rsid w:val="00321D5E"/>
    <w:rsid w:val="00331C88"/>
    <w:rsid w:val="00331F26"/>
    <w:rsid w:val="00336981"/>
    <w:rsid w:val="00336E53"/>
    <w:rsid w:val="00352BB5"/>
    <w:rsid w:val="003679F5"/>
    <w:rsid w:val="00383252"/>
    <w:rsid w:val="0038490E"/>
    <w:rsid w:val="003A3716"/>
    <w:rsid w:val="003A53AD"/>
    <w:rsid w:val="003B69DC"/>
    <w:rsid w:val="003B6EDA"/>
    <w:rsid w:val="003D6BF1"/>
    <w:rsid w:val="003E5316"/>
    <w:rsid w:val="003F11E8"/>
    <w:rsid w:val="003F199F"/>
    <w:rsid w:val="004042CE"/>
    <w:rsid w:val="004052F8"/>
    <w:rsid w:val="00407EC6"/>
    <w:rsid w:val="00410C80"/>
    <w:rsid w:val="00412EDB"/>
    <w:rsid w:val="00413D6C"/>
    <w:rsid w:val="00416909"/>
    <w:rsid w:val="004175FE"/>
    <w:rsid w:val="004262B0"/>
    <w:rsid w:val="00432947"/>
    <w:rsid w:val="0044170C"/>
    <w:rsid w:val="00466CF9"/>
    <w:rsid w:val="0048052D"/>
    <w:rsid w:val="00485142"/>
    <w:rsid w:val="00491545"/>
    <w:rsid w:val="00492E5E"/>
    <w:rsid w:val="004A2EA6"/>
    <w:rsid w:val="004B1F33"/>
    <w:rsid w:val="004B3FF2"/>
    <w:rsid w:val="004D58E0"/>
    <w:rsid w:val="004D5F0F"/>
    <w:rsid w:val="005040ED"/>
    <w:rsid w:val="00511E30"/>
    <w:rsid w:val="00512630"/>
    <w:rsid w:val="005162B1"/>
    <w:rsid w:val="00532F6F"/>
    <w:rsid w:val="00535BB2"/>
    <w:rsid w:val="00543EBB"/>
    <w:rsid w:val="00544102"/>
    <w:rsid w:val="00544E3F"/>
    <w:rsid w:val="005456EF"/>
    <w:rsid w:val="00547AC9"/>
    <w:rsid w:val="0055172A"/>
    <w:rsid w:val="00563C12"/>
    <w:rsid w:val="00564DDE"/>
    <w:rsid w:val="00581C59"/>
    <w:rsid w:val="00584DA7"/>
    <w:rsid w:val="005A57B1"/>
    <w:rsid w:val="005B375D"/>
    <w:rsid w:val="005B4CDB"/>
    <w:rsid w:val="005C2430"/>
    <w:rsid w:val="005C55AA"/>
    <w:rsid w:val="005D4DF7"/>
    <w:rsid w:val="005D6AD8"/>
    <w:rsid w:val="005D728E"/>
    <w:rsid w:val="005D7804"/>
    <w:rsid w:val="005E0A44"/>
    <w:rsid w:val="005E69AB"/>
    <w:rsid w:val="005F19C3"/>
    <w:rsid w:val="005F28E9"/>
    <w:rsid w:val="005F4F50"/>
    <w:rsid w:val="00620E7C"/>
    <w:rsid w:val="00635E8A"/>
    <w:rsid w:val="0064120E"/>
    <w:rsid w:val="00645572"/>
    <w:rsid w:val="006475A7"/>
    <w:rsid w:val="00655765"/>
    <w:rsid w:val="006620ED"/>
    <w:rsid w:val="00671C6F"/>
    <w:rsid w:val="006723D4"/>
    <w:rsid w:val="00690600"/>
    <w:rsid w:val="0069423F"/>
    <w:rsid w:val="006A5673"/>
    <w:rsid w:val="006A65E8"/>
    <w:rsid w:val="006C46F7"/>
    <w:rsid w:val="006C55B2"/>
    <w:rsid w:val="006D34E0"/>
    <w:rsid w:val="006D7200"/>
    <w:rsid w:val="006D7B5E"/>
    <w:rsid w:val="006D7C9E"/>
    <w:rsid w:val="006E0A83"/>
    <w:rsid w:val="006E2B22"/>
    <w:rsid w:val="006E3AA0"/>
    <w:rsid w:val="006E61C6"/>
    <w:rsid w:val="006F5919"/>
    <w:rsid w:val="00703EB5"/>
    <w:rsid w:val="007139CB"/>
    <w:rsid w:val="00713A37"/>
    <w:rsid w:val="007239ED"/>
    <w:rsid w:val="0073459A"/>
    <w:rsid w:val="00735E5B"/>
    <w:rsid w:val="00750130"/>
    <w:rsid w:val="00756F73"/>
    <w:rsid w:val="00760A03"/>
    <w:rsid w:val="00780F69"/>
    <w:rsid w:val="007824D1"/>
    <w:rsid w:val="007875D1"/>
    <w:rsid w:val="007A1775"/>
    <w:rsid w:val="007B433F"/>
    <w:rsid w:val="007C443A"/>
    <w:rsid w:val="007C61D2"/>
    <w:rsid w:val="007D5434"/>
    <w:rsid w:val="007E39A7"/>
    <w:rsid w:val="00800DC7"/>
    <w:rsid w:val="0082105E"/>
    <w:rsid w:val="0084116D"/>
    <w:rsid w:val="00844478"/>
    <w:rsid w:val="0085381C"/>
    <w:rsid w:val="0085620B"/>
    <w:rsid w:val="00873C5B"/>
    <w:rsid w:val="00875CF8"/>
    <w:rsid w:val="0089048E"/>
    <w:rsid w:val="008A2005"/>
    <w:rsid w:val="008A2B2E"/>
    <w:rsid w:val="008C69AA"/>
    <w:rsid w:val="008D2145"/>
    <w:rsid w:val="008D747A"/>
    <w:rsid w:val="008D7C47"/>
    <w:rsid w:val="008E49F5"/>
    <w:rsid w:val="008E7B14"/>
    <w:rsid w:val="008F0048"/>
    <w:rsid w:val="008F1610"/>
    <w:rsid w:val="008F7E0A"/>
    <w:rsid w:val="009257B7"/>
    <w:rsid w:val="009356C3"/>
    <w:rsid w:val="00947F9E"/>
    <w:rsid w:val="009636FA"/>
    <w:rsid w:val="009648EF"/>
    <w:rsid w:val="00964BF7"/>
    <w:rsid w:val="00964D54"/>
    <w:rsid w:val="00977FD1"/>
    <w:rsid w:val="00991C50"/>
    <w:rsid w:val="009A1E57"/>
    <w:rsid w:val="009B0A1F"/>
    <w:rsid w:val="009C4E2A"/>
    <w:rsid w:val="009C7CC6"/>
    <w:rsid w:val="009D0F0C"/>
    <w:rsid w:val="009D7386"/>
    <w:rsid w:val="009D7AC6"/>
    <w:rsid w:val="009E04E2"/>
    <w:rsid w:val="009E5A30"/>
    <w:rsid w:val="009E726A"/>
    <w:rsid w:val="00A004DF"/>
    <w:rsid w:val="00A030A4"/>
    <w:rsid w:val="00A0505B"/>
    <w:rsid w:val="00A078BD"/>
    <w:rsid w:val="00A10E8B"/>
    <w:rsid w:val="00A174C3"/>
    <w:rsid w:val="00A22288"/>
    <w:rsid w:val="00A2703B"/>
    <w:rsid w:val="00A30D76"/>
    <w:rsid w:val="00A50F20"/>
    <w:rsid w:val="00A568EA"/>
    <w:rsid w:val="00A634DD"/>
    <w:rsid w:val="00A6496E"/>
    <w:rsid w:val="00A66A49"/>
    <w:rsid w:val="00A66DA0"/>
    <w:rsid w:val="00A67638"/>
    <w:rsid w:val="00A67F5E"/>
    <w:rsid w:val="00A75B57"/>
    <w:rsid w:val="00A83F00"/>
    <w:rsid w:val="00A91E27"/>
    <w:rsid w:val="00AA008A"/>
    <w:rsid w:val="00AA2057"/>
    <w:rsid w:val="00AA39B1"/>
    <w:rsid w:val="00AA3D6B"/>
    <w:rsid w:val="00AC1072"/>
    <w:rsid w:val="00AE1DC0"/>
    <w:rsid w:val="00AE7CC9"/>
    <w:rsid w:val="00B02FC7"/>
    <w:rsid w:val="00B056A2"/>
    <w:rsid w:val="00B1279B"/>
    <w:rsid w:val="00B12AFB"/>
    <w:rsid w:val="00B14E15"/>
    <w:rsid w:val="00B152DB"/>
    <w:rsid w:val="00B22844"/>
    <w:rsid w:val="00B2304F"/>
    <w:rsid w:val="00B23E37"/>
    <w:rsid w:val="00B327EA"/>
    <w:rsid w:val="00B333A3"/>
    <w:rsid w:val="00B46921"/>
    <w:rsid w:val="00B51FCD"/>
    <w:rsid w:val="00B52802"/>
    <w:rsid w:val="00B61862"/>
    <w:rsid w:val="00B62ED3"/>
    <w:rsid w:val="00B63BA9"/>
    <w:rsid w:val="00B64194"/>
    <w:rsid w:val="00B729EA"/>
    <w:rsid w:val="00B75711"/>
    <w:rsid w:val="00B7658F"/>
    <w:rsid w:val="00B7750C"/>
    <w:rsid w:val="00B83D0E"/>
    <w:rsid w:val="00B84B97"/>
    <w:rsid w:val="00B9121B"/>
    <w:rsid w:val="00BC224A"/>
    <w:rsid w:val="00BC3CB7"/>
    <w:rsid w:val="00BC3FD8"/>
    <w:rsid w:val="00BD55FD"/>
    <w:rsid w:val="00BD5AFB"/>
    <w:rsid w:val="00BD5D4A"/>
    <w:rsid w:val="00BF1228"/>
    <w:rsid w:val="00BF3013"/>
    <w:rsid w:val="00C0656D"/>
    <w:rsid w:val="00C07323"/>
    <w:rsid w:val="00C2173F"/>
    <w:rsid w:val="00C36647"/>
    <w:rsid w:val="00C37EBB"/>
    <w:rsid w:val="00C635F4"/>
    <w:rsid w:val="00C65ACA"/>
    <w:rsid w:val="00C828FD"/>
    <w:rsid w:val="00CA38F4"/>
    <w:rsid w:val="00CA71AE"/>
    <w:rsid w:val="00CA77B7"/>
    <w:rsid w:val="00CC1AD9"/>
    <w:rsid w:val="00CC79C6"/>
    <w:rsid w:val="00CD1D47"/>
    <w:rsid w:val="00CD70C5"/>
    <w:rsid w:val="00CE6590"/>
    <w:rsid w:val="00D01E1E"/>
    <w:rsid w:val="00D0746C"/>
    <w:rsid w:val="00D13EC1"/>
    <w:rsid w:val="00D14B55"/>
    <w:rsid w:val="00D45582"/>
    <w:rsid w:val="00D525A1"/>
    <w:rsid w:val="00D52DBA"/>
    <w:rsid w:val="00D62D8B"/>
    <w:rsid w:val="00D6440B"/>
    <w:rsid w:val="00D65A0B"/>
    <w:rsid w:val="00D675EF"/>
    <w:rsid w:val="00D873B2"/>
    <w:rsid w:val="00DA08A3"/>
    <w:rsid w:val="00DA3FBB"/>
    <w:rsid w:val="00DA4F73"/>
    <w:rsid w:val="00DC5AD2"/>
    <w:rsid w:val="00DD7C11"/>
    <w:rsid w:val="00DE4B0A"/>
    <w:rsid w:val="00DF0693"/>
    <w:rsid w:val="00DF6514"/>
    <w:rsid w:val="00E056DD"/>
    <w:rsid w:val="00E10449"/>
    <w:rsid w:val="00E11B07"/>
    <w:rsid w:val="00E21294"/>
    <w:rsid w:val="00E22E28"/>
    <w:rsid w:val="00E35F72"/>
    <w:rsid w:val="00E372DA"/>
    <w:rsid w:val="00E41279"/>
    <w:rsid w:val="00E52F30"/>
    <w:rsid w:val="00E57EF6"/>
    <w:rsid w:val="00E650A7"/>
    <w:rsid w:val="00E665D9"/>
    <w:rsid w:val="00E7134E"/>
    <w:rsid w:val="00E74BEA"/>
    <w:rsid w:val="00E86B68"/>
    <w:rsid w:val="00EA266E"/>
    <w:rsid w:val="00EB2CFA"/>
    <w:rsid w:val="00EB4D17"/>
    <w:rsid w:val="00EB71E4"/>
    <w:rsid w:val="00EC2C5E"/>
    <w:rsid w:val="00EC59F2"/>
    <w:rsid w:val="00EE3703"/>
    <w:rsid w:val="00EF0879"/>
    <w:rsid w:val="00EF155C"/>
    <w:rsid w:val="00EF4ACF"/>
    <w:rsid w:val="00F025C7"/>
    <w:rsid w:val="00F07091"/>
    <w:rsid w:val="00F12B90"/>
    <w:rsid w:val="00F243BD"/>
    <w:rsid w:val="00F32F82"/>
    <w:rsid w:val="00F41890"/>
    <w:rsid w:val="00F436C1"/>
    <w:rsid w:val="00F50647"/>
    <w:rsid w:val="00F50E5F"/>
    <w:rsid w:val="00F60525"/>
    <w:rsid w:val="00F60A1B"/>
    <w:rsid w:val="00F6147F"/>
    <w:rsid w:val="00F673F1"/>
    <w:rsid w:val="00F74486"/>
    <w:rsid w:val="00F77DA1"/>
    <w:rsid w:val="00F8268C"/>
    <w:rsid w:val="00F933E6"/>
    <w:rsid w:val="00FA3670"/>
    <w:rsid w:val="00FA6FB8"/>
    <w:rsid w:val="00FB555A"/>
    <w:rsid w:val="00FC3403"/>
    <w:rsid w:val="00FC4CFC"/>
    <w:rsid w:val="00FD3F35"/>
    <w:rsid w:val="00FE3416"/>
    <w:rsid w:val="00FE3724"/>
    <w:rsid w:val="00FF0F6B"/>
    <w:rsid w:val="039A5532"/>
    <w:rsid w:val="0771CB9D"/>
    <w:rsid w:val="0E88889C"/>
    <w:rsid w:val="167A7224"/>
    <w:rsid w:val="20D5B902"/>
    <w:rsid w:val="33BACE7B"/>
    <w:rsid w:val="44CB40FD"/>
    <w:rsid w:val="47E1D866"/>
    <w:rsid w:val="493B35FF"/>
    <w:rsid w:val="66BF61CE"/>
    <w:rsid w:val="6C3FC694"/>
    <w:rsid w:val="6D254D8D"/>
    <w:rsid w:val="70B94733"/>
    <w:rsid w:val="79F64B7F"/>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173F1BB0"/>
  <w15:docId w15:val="{B8814BBB-A914-4243-8923-B94DC8309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Liberation Serif" w:eastAsia="Droid Sans Fallback" w:hAnsi="Liberation Serif" w:cs="FreeSans"/>
        <w:sz w:val="24"/>
        <w:szCs w:val="24"/>
        <w:lang w:val="en-US" w:eastAsia="zh-CN" w:bidi="hi-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rFonts w:ascii="Times New Roman" w:eastAsia="Times New Roman" w:hAnsi="Times New Roman" w:cs="Times New Roman"/>
      <w:color w:val="00000A"/>
      <w:lang w:val="es-ES"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tarSymbol;Arial Unicode MS"/>
      <w:sz w:val="18"/>
      <w:szCs w:val="18"/>
      <w:lang w:val="en-US"/>
    </w:rPr>
  </w:style>
  <w:style w:type="character" w:customStyle="1" w:styleId="WW8Num2z0">
    <w:name w:val="WW8Num2z0"/>
    <w:qFormat/>
    <w:rPr>
      <w:rFonts w:ascii="Symbol" w:hAnsi="Symbol" w:cs="Symbol"/>
      <w:color w:val="333366"/>
      <w:lang w:val="en-US"/>
    </w:rPr>
  </w:style>
  <w:style w:type="character" w:customStyle="1" w:styleId="WW8Num2z1">
    <w:name w:val="WW8Num2z1"/>
    <w:qFormat/>
    <w:rPr>
      <w:rFonts w:ascii="OpenSymbol;Arial Unicode MS" w:hAnsi="OpenSymbol;Arial Unicode MS" w:cs="OpenSymbol;Arial Unicode MS"/>
    </w:rPr>
  </w:style>
  <w:style w:type="character" w:customStyle="1" w:styleId="WW8Num3z0">
    <w:name w:val="WW8Num3z0"/>
    <w:qFormat/>
  </w:style>
  <w:style w:type="character" w:customStyle="1" w:styleId="WW8Num3z1">
    <w:name w:val="WW8Num3z1"/>
    <w:qFormat/>
  </w:style>
  <w:style w:type="character" w:customStyle="1" w:styleId="WW8Num3z2">
    <w:name w:val="WW8Num3z2"/>
    <w:qFormat/>
  </w:style>
  <w:style w:type="character" w:customStyle="1" w:styleId="WW8Num3z3">
    <w:name w:val="WW8Num3z3"/>
    <w:qFormat/>
  </w:style>
  <w:style w:type="character" w:customStyle="1" w:styleId="WW8Num3z4">
    <w:name w:val="WW8Num3z4"/>
    <w:qFormat/>
  </w:style>
  <w:style w:type="character" w:customStyle="1" w:styleId="WW8Num3z5">
    <w:name w:val="WW8Num3z5"/>
    <w:qFormat/>
  </w:style>
  <w:style w:type="character" w:customStyle="1" w:styleId="WW8Num3z6">
    <w:name w:val="WW8Num3z6"/>
    <w:qFormat/>
  </w:style>
  <w:style w:type="character" w:customStyle="1" w:styleId="WW8Num3z7">
    <w:name w:val="WW8Num3z7"/>
    <w:qFormat/>
  </w:style>
  <w:style w:type="character" w:customStyle="1" w:styleId="WW8Num3z8">
    <w:name w:val="WW8Num3z8"/>
    <w:qFormat/>
  </w:style>
  <w:style w:type="character" w:customStyle="1" w:styleId="WW8Num2z2">
    <w:name w:val="WW8Num2z2"/>
    <w:qFormat/>
  </w:style>
  <w:style w:type="character" w:customStyle="1" w:styleId="WW8Num2z3">
    <w:name w:val="WW8Num2z3"/>
    <w:qFormat/>
  </w:style>
  <w:style w:type="character" w:customStyle="1" w:styleId="WW8Num2z4">
    <w:name w:val="WW8Num2z4"/>
    <w:qFormat/>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Fuentedeprrafopredeter1">
    <w:name w:val="Fuente de párrafo predeter.1"/>
    <w:qFormat/>
  </w:style>
  <w:style w:type="character" w:customStyle="1" w:styleId="Absatz-Standardschriftart">
    <w:name w:val="Absatz-Standardschriftart"/>
    <w:qFormat/>
  </w:style>
  <w:style w:type="character" w:customStyle="1" w:styleId="Fuentedeprrafopredeter2">
    <w:name w:val="Fuente de párrafo predeter.2"/>
    <w:qFormat/>
  </w:style>
  <w:style w:type="character" w:customStyle="1" w:styleId="Suffix">
    <w:name w:val="Suffix"/>
    <w:qFormat/>
    <w:rPr>
      <w:rFonts w:ascii="Times New Roman" w:hAnsi="Times New Roman" w:cs="Times New Roman"/>
      <w:sz w:val="24"/>
    </w:rPr>
  </w:style>
  <w:style w:type="character" w:customStyle="1" w:styleId="LastName">
    <w:name w:val="Last Name"/>
    <w:qFormat/>
    <w:rPr>
      <w:rFonts w:ascii="Times New Roman" w:hAnsi="Times New Roman" w:cs="Times New Roman"/>
      <w:spacing w:val="0"/>
      <w:sz w:val="24"/>
      <w:szCs w:val="24"/>
    </w:rPr>
  </w:style>
  <w:style w:type="character" w:customStyle="1" w:styleId="Bullets">
    <w:name w:val="Bullets"/>
    <w:qFormat/>
    <w:rPr>
      <w:rFonts w:ascii="StarSymbol;Arial Unicode MS" w:eastAsia="StarSymbol;Arial Unicode MS" w:hAnsi="StarSymbol;Arial Unicode MS" w:cs="StarSymbol;Arial Unicode MS"/>
      <w:sz w:val="18"/>
      <w:szCs w:val="18"/>
    </w:rPr>
  </w:style>
  <w:style w:type="character" w:customStyle="1" w:styleId="InternetLink">
    <w:name w:val="Internet Link"/>
    <w:basedOn w:val="DefaultParagraphFont"/>
    <w:uiPriority w:val="99"/>
    <w:unhideWhenUsed/>
    <w:qFormat/>
    <w:rsid w:val="00E13AD6"/>
    <w:rPr>
      <w:color w:val="0563C1"/>
      <w:u w:val="single"/>
      <w:lang w:val="uz-Cyrl-UZ" w:eastAsia="uz-Cyrl-UZ" w:bidi="uz-Cyrl-UZ"/>
    </w:rPr>
  </w:style>
  <w:style w:type="character" w:customStyle="1" w:styleId="Carcterdenumeracin">
    <w:name w:val="Carácter de numeración"/>
    <w:qFormat/>
  </w:style>
  <w:style w:type="character" w:customStyle="1" w:styleId="FootnoteTextChar">
    <w:name w:val="Footnote Text Char"/>
    <w:qFormat/>
    <w:rPr>
      <w:lang w:val="es-ES"/>
    </w:rPr>
  </w:style>
  <w:style w:type="character" w:customStyle="1" w:styleId="Smbolodenotaalpie">
    <w:name w:val="Símbolo de nota al pie"/>
    <w:qFormat/>
    <w:rPr>
      <w:vertAlign w:val="superscript"/>
    </w:rPr>
  </w:style>
  <w:style w:type="character" w:customStyle="1" w:styleId="FootnoteCharacters">
    <w:name w:val="Footnote Characters"/>
    <w:qFormat/>
    <w:rPr>
      <w:vertAlign w:val="superscript"/>
    </w:rPr>
  </w:style>
  <w:style w:type="character" w:customStyle="1" w:styleId="Smbolodenotafinal">
    <w:name w:val="Símbolo de nota final"/>
    <w:qFormat/>
    <w:rPr>
      <w:vertAlign w:val="superscript"/>
    </w:rPr>
  </w:style>
  <w:style w:type="character" w:customStyle="1" w:styleId="WW-Smbolodenotafinal">
    <w:name w:val="WW-Símbolo de nota final"/>
    <w:qFormat/>
  </w:style>
  <w:style w:type="character" w:customStyle="1" w:styleId="EndnoteCharacters">
    <w:name w:val="Endnote Characters"/>
    <w:qFormat/>
    <w:rPr>
      <w:vertAlign w:val="superscript"/>
    </w:rPr>
  </w:style>
  <w:style w:type="character" w:customStyle="1" w:styleId="FootnoteAnchor">
    <w:name w:val="Footnote Anchor"/>
    <w:qFormat/>
    <w:rPr>
      <w:vertAlign w:val="superscript"/>
    </w:rPr>
  </w:style>
  <w:style w:type="character" w:customStyle="1" w:styleId="EndnoteAnchor">
    <w:name w:val="Endnote Anchor"/>
    <w:qFormat/>
    <w:rPr>
      <w:vertAlign w:val="superscript"/>
    </w:rPr>
  </w:style>
  <w:style w:type="character" w:customStyle="1" w:styleId="ListLabel1">
    <w:name w:val="ListLabel 1"/>
    <w:qFormat/>
    <w:rPr>
      <w:rFonts w:cs="Symbol"/>
      <w:sz w:val="18"/>
      <w:szCs w:val="18"/>
    </w:rPr>
  </w:style>
  <w:style w:type="character" w:customStyle="1" w:styleId="ListLabel2">
    <w:name w:val="ListLabel 2"/>
    <w:qFormat/>
    <w:rPr>
      <w:rFonts w:cs="Symbol"/>
      <w:color w:val="333366"/>
    </w:rPr>
  </w:style>
  <w:style w:type="character" w:customStyle="1" w:styleId="ListLabel3">
    <w:name w:val="ListLabel 3"/>
    <w:qFormat/>
    <w:rPr>
      <w:rFonts w:cs="OpenSymbol"/>
    </w:rPr>
  </w:style>
  <w:style w:type="character" w:customStyle="1" w:styleId="ListLabel4">
    <w:name w:val="ListLabel 4"/>
    <w:qFormat/>
    <w:rPr>
      <w:rFonts w:cs="Symbol"/>
      <w:sz w:val="18"/>
      <w:szCs w:val="18"/>
    </w:rPr>
  </w:style>
  <w:style w:type="character" w:customStyle="1" w:styleId="ListLabel5">
    <w:name w:val="ListLabel 5"/>
    <w:qFormat/>
    <w:rPr>
      <w:rFonts w:cs="Symbol"/>
      <w:sz w:val="18"/>
      <w:szCs w:val="18"/>
    </w:rPr>
  </w:style>
  <w:style w:type="character" w:styleId="CommentReference">
    <w:name w:val="annotation reference"/>
    <w:basedOn w:val="DefaultParagraphFont"/>
    <w:uiPriority w:val="99"/>
    <w:semiHidden/>
    <w:unhideWhenUsed/>
    <w:qFormat/>
    <w:rsid w:val="007527E3"/>
    <w:rPr>
      <w:sz w:val="16"/>
      <w:szCs w:val="16"/>
    </w:rPr>
  </w:style>
  <w:style w:type="character" w:customStyle="1" w:styleId="CommentTextChar">
    <w:name w:val="Comment Text Char"/>
    <w:basedOn w:val="DefaultParagraphFont"/>
    <w:link w:val="CommentText"/>
    <w:uiPriority w:val="99"/>
    <w:semiHidden/>
    <w:qFormat/>
    <w:rsid w:val="007527E3"/>
    <w:rPr>
      <w:rFonts w:ascii="Times New Roman" w:eastAsia="Times New Roman" w:hAnsi="Times New Roman" w:cs="Times New Roman"/>
      <w:color w:val="00000A"/>
      <w:sz w:val="20"/>
      <w:szCs w:val="20"/>
      <w:lang w:val="es-ES" w:bidi="ar-SA"/>
    </w:rPr>
  </w:style>
  <w:style w:type="character" w:customStyle="1" w:styleId="CommentSubjectChar">
    <w:name w:val="Comment Subject Char"/>
    <w:basedOn w:val="CommentTextChar"/>
    <w:link w:val="CommentSubject"/>
    <w:uiPriority w:val="99"/>
    <w:semiHidden/>
    <w:qFormat/>
    <w:rsid w:val="007527E3"/>
    <w:rPr>
      <w:rFonts w:ascii="Times New Roman" w:eastAsia="Times New Roman" w:hAnsi="Times New Roman" w:cs="Times New Roman"/>
      <w:b/>
      <w:bCs/>
      <w:color w:val="00000A"/>
      <w:sz w:val="20"/>
      <w:szCs w:val="20"/>
      <w:lang w:val="es-ES" w:bidi="ar-SA"/>
    </w:rPr>
  </w:style>
  <w:style w:type="character" w:customStyle="1" w:styleId="BalloonTextChar">
    <w:name w:val="Balloon Text Char"/>
    <w:basedOn w:val="DefaultParagraphFont"/>
    <w:link w:val="BalloonText"/>
    <w:uiPriority w:val="99"/>
    <w:semiHidden/>
    <w:qFormat/>
    <w:rsid w:val="007527E3"/>
    <w:rPr>
      <w:rFonts w:ascii="Segoe UI" w:eastAsia="Times New Roman" w:hAnsi="Segoe UI" w:cs="Segoe UI"/>
      <w:color w:val="00000A"/>
      <w:sz w:val="18"/>
      <w:szCs w:val="18"/>
      <w:lang w:val="es-ES" w:bidi="ar-SA"/>
    </w:rPr>
  </w:style>
  <w:style w:type="character" w:customStyle="1" w:styleId="ListLabel6">
    <w:name w:val="ListLabel 6"/>
    <w:qFormat/>
    <w:rPr>
      <w:rFonts w:cs="Symbol"/>
      <w:sz w:val="18"/>
      <w:szCs w:val="18"/>
    </w:rPr>
  </w:style>
  <w:style w:type="character" w:customStyle="1" w:styleId="ListLabel7">
    <w:name w:val="ListLabel 7"/>
    <w:qFormat/>
    <w:rPr>
      <w:rFonts w:eastAsia="Times New Roman" w:cs="Times New Roman"/>
    </w:rPr>
  </w:style>
  <w:style w:type="character" w:customStyle="1" w:styleId="ListLabel8">
    <w:name w:val="ListLabel 8"/>
    <w:qFormat/>
    <w:rPr>
      <w:rFonts w:cs="Courier New"/>
    </w:rPr>
  </w:style>
  <w:style w:type="character" w:customStyle="1" w:styleId="ListLabel9">
    <w:name w:val="ListLabel 9"/>
    <w:qFormat/>
    <w:rPr>
      <w:rFonts w:cs="Symbol"/>
      <w:sz w:val="18"/>
      <w:szCs w:val="18"/>
    </w:rPr>
  </w:style>
  <w:style w:type="character" w:customStyle="1" w:styleId="ListLabel10">
    <w:name w:val="ListLabel 10"/>
    <w:qFormat/>
    <w:rPr>
      <w:rFonts w:cs="Times New Roman"/>
    </w:rPr>
  </w:style>
  <w:style w:type="character" w:customStyle="1" w:styleId="ListLabel11">
    <w:name w:val="ListLabel 11"/>
    <w:qFormat/>
    <w:rPr>
      <w:rFonts w:cs="Courier New"/>
    </w:rPr>
  </w:style>
  <w:style w:type="character" w:customStyle="1" w:styleId="ListLabel12">
    <w:name w:val="ListLabel 12"/>
    <w:qFormat/>
    <w:rPr>
      <w:rFonts w:cs="Wingdings"/>
    </w:rPr>
  </w:style>
  <w:style w:type="character" w:customStyle="1" w:styleId="ListLabel13">
    <w:name w:val="ListLabel 13"/>
    <w:qFormat/>
    <w:rPr>
      <w:rFonts w:cs="Symbol"/>
    </w:rPr>
  </w:style>
  <w:style w:type="character" w:customStyle="1" w:styleId="ListLabel14">
    <w:name w:val="ListLabel 14"/>
    <w:qFormat/>
    <w:rPr>
      <w:rFonts w:cs="Symbol"/>
      <w:b/>
      <w:sz w:val="18"/>
      <w:szCs w:val="18"/>
    </w:rPr>
  </w:style>
  <w:style w:type="character" w:customStyle="1" w:styleId="ListLabel15">
    <w:name w:val="ListLabel 15"/>
    <w:qFormat/>
    <w:rPr>
      <w:rFonts w:cs="Symbol"/>
      <w:sz w:val="18"/>
      <w:szCs w:val="18"/>
    </w:rPr>
  </w:style>
  <w:style w:type="character" w:customStyle="1" w:styleId="ListLabel16">
    <w:name w:val="ListLabel 16"/>
    <w:qFormat/>
    <w:rPr>
      <w:rFonts w:cs="Symbol"/>
      <w:sz w:val="18"/>
      <w:szCs w:val="18"/>
    </w:rPr>
  </w:style>
  <w:style w:type="character" w:customStyle="1" w:styleId="ListLabel17">
    <w:name w:val="ListLabel 17"/>
    <w:qFormat/>
    <w:rPr>
      <w:rFonts w:cs="Symbol"/>
      <w:sz w:val="18"/>
      <w:szCs w:val="18"/>
    </w:rPr>
  </w:style>
  <w:style w:type="character" w:customStyle="1" w:styleId="ListLabel18">
    <w:name w:val="ListLabel 18"/>
    <w:qFormat/>
    <w:rPr>
      <w:rFonts w:cs="Symbol"/>
      <w:sz w:val="18"/>
      <w:szCs w:val="18"/>
    </w:rPr>
  </w:style>
  <w:style w:type="character" w:customStyle="1" w:styleId="ListLabel19">
    <w:name w:val="ListLabel 19"/>
    <w:qFormat/>
    <w:rPr>
      <w:rFonts w:cs="Symbol"/>
      <w:sz w:val="18"/>
      <w:szCs w:val="18"/>
    </w:rPr>
  </w:style>
  <w:style w:type="character" w:customStyle="1" w:styleId="ListLabel20">
    <w:name w:val="ListLabel 20"/>
    <w:qFormat/>
    <w:rPr>
      <w:rFonts w:cs="Symbol"/>
      <w:sz w:val="18"/>
      <w:szCs w:val="18"/>
    </w:rPr>
  </w:style>
  <w:style w:type="character" w:customStyle="1" w:styleId="ListLabel21">
    <w:name w:val="ListLabel 21"/>
    <w:qFormat/>
    <w:rPr>
      <w:rFonts w:cs="Symbol"/>
      <w:sz w:val="18"/>
      <w:szCs w:val="18"/>
    </w:rPr>
  </w:style>
  <w:style w:type="character" w:customStyle="1" w:styleId="ListLabel22">
    <w:name w:val="ListLabel 22"/>
    <w:qFormat/>
    <w:rPr>
      <w:rFonts w:cs="Symbol"/>
      <w:sz w:val="18"/>
      <w:szCs w:val="18"/>
    </w:rPr>
  </w:style>
  <w:style w:type="character" w:customStyle="1" w:styleId="ListLabel23">
    <w:name w:val="ListLabel 23"/>
    <w:qFormat/>
    <w:rPr>
      <w:rFonts w:cs="Times New Roman"/>
      <w:b/>
    </w:rPr>
  </w:style>
  <w:style w:type="character" w:customStyle="1" w:styleId="ListLabel24">
    <w:name w:val="ListLabel 24"/>
    <w:qFormat/>
    <w:rPr>
      <w:rFonts w:cs="Courier New"/>
    </w:rPr>
  </w:style>
  <w:style w:type="character" w:customStyle="1" w:styleId="ListLabel25">
    <w:name w:val="ListLabel 25"/>
    <w:qFormat/>
    <w:rPr>
      <w:rFonts w:cs="Wingdings"/>
    </w:rPr>
  </w:style>
  <w:style w:type="character" w:customStyle="1" w:styleId="ListLabel26">
    <w:name w:val="ListLabel 26"/>
    <w:qFormat/>
    <w:rPr>
      <w:rFonts w:cs="Symbol"/>
    </w:rPr>
  </w:style>
  <w:style w:type="character" w:customStyle="1" w:styleId="ListLabel27">
    <w:name w:val="ListLabel 27"/>
    <w:qFormat/>
    <w:rPr>
      <w:rFonts w:cs="Courier New"/>
    </w:rPr>
  </w:style>
  <w:style w:type="character" w:customStyle="1" w:styleId="ListLabel28">
    <w:name w:val="ListLabel 28"/>
    <w:qFormat/>
    <w:rPr>
      <w:rFonts w:cs="Wingdings"/>
    </w:rPr>
  </w:style>
  <w:style w:type="character" w:customStyle="1" w:styleId="ListLabel29">
    <w:name w:val="ListLabel 29"/>
    <w:qFormat/>
    <w:rPr>
      <w:rFonts w:cs="Symbol"/>
    </w:rPr>
  </w:style>
  <w:style w:type="character" w:customStyle="1" w:styleId="ListLabel30">
    <w:name w:val="ListLabel 30"/>
    <w:qFormat/>
    <w:rPr>
      <w:rFonts w:cs="Courier New"/>
    </w:rPr>
  </w:style>
  <w:style w:type="character" w:customStyle="1" w:styleId="ListLabel31">
    <w:name w:val="ListLabel 31"/>
    <w:qFormat/>
    <w:rPr>
      <w:rFonts w:cs="Wingdings"/>
    </w:rPr>
  </w:style>
  <w:style w:type="character" w:customStyle="1" w:styleId="ListLabel32">
    <w:name w:val="ListLabel 32"/>
    <w:qFormat/>
  </w:style>
  <w:style w:type="character" w:customStyle="1" w:styleId="EnlacedeInternet">
    <w:name w:val="Enlace de Internet"/>
    <w:rPr>
      <w:color w:val="000080"/>
      <w:u w:val="single"/>
      <w:lang w:val="uz-Cyrl-UZ" w:eastAsia="uz-Cyrl-UZ" w:bidi="uz-Cyrl-UZ"/>
    </w:rPr>
  </w:style>
  <w:style w:type="character" w:customStyle="1" w:styleId="ListLabel33">
    <w:name w:val="ListLabel 33"/>
    <w:qFormat/>
    <w:rPr>
      <w:u w:val="none"/>
    </w:rPr>
  </w:style>
  <w:style w:type="character" w:customStyle="1" w:styleId="ListLabel34">
    <w:name w:val="ListLabel 34"/>
    <w:qFormat/>
    <w:rPr>
      <w:color w:val="333366"/>
    </w:rPr>
  </w:style>
  <w:style w:type="character" w:customStyle="1" w:styleId="ListLabel37">
    <w:name w:val="ListLabel 37"/>
    <w:qFormat/>
  </w:style>
  <w:style w:type="paragraph" w:customStyle="1" w:styleId="Ttulo1">
    <w:name w:val="Título1"/>
    <w:basedOn w:val="Normal"/>
    <w:next w:val="BodyText"/>
    <w:qFormat/>
    <w:pPr>
      <w:keepNext/>
      <w:spacing w:before="240" w:after="120"/>
    </w:pPr>
    <w:rPr>
      <w:rFonts w:ascii="Nimbus Sans L;Arial" w:eastAsia="DejaVu Sans;Arial Unicode MS" w:hAnsi="Nimbus Sans L;Arial" w:cs="DejaVu Sans;Arial Unicode MS"/>
      <w:sz w:val="28"/>
      <w:szCs w:val="28"/>
    </w:rPr>
  </w:style>
  <w:style w:type="paragraph" w:styleId="BodyText">
    <w:name w:val="Body Text"/>
    <w:basedOn w:val="Normal"/>
    <w:pPr>
      <w:spacing w:after="140" w:line="276" w:lineRule="auto"/>
    </w:pPr>
  </w:style>
  <w:style w:type="paragraph" w:styleId="List">
    <w:name w:val="List"/>
    <w:basedOn w:val="TextBody"/>
    <w:rPr>
      <w:rFonts w:cs="FreeSans"/>
    </w:rPr>
  </w:style>
  <w:style w:type="paragraph" w:customStyle="1" w:styleId="Descripcin1">
    <w:name w:val="Descripción1"/>
    <w:basedOn w:val="Normal"/>
    <w:qFormat/>
    <w:pPr>
      <w:suppressLineNumbers/>
      <w:spacing w:before="120" w:after="120"/>
    </w:pPr>
    <w:rPr>
      <w:rFonts w:cs="Lohit Devanagari"/>
      <w:i/>
      <w:iCs/>
    </w:rPr>
  </w:style>
  <w:style w:type="paragraph" w:customStyle="1" w:styleId="ndice">
    <w:name w:val="Índice"/>
    <w:basedOn w:val="Normal"/>
    <w:qFormat/>
    <w:pPr>
      <w:suppressLineNumbers/>
    </w:pPr>
  </w:style>
  <w:style w:type="paragraph" w:customStyle="1" w:styleId="TextBody">
    <w:name w:val="Text Body"/>
    <w:basedOn w:val="Normal"/>
    <w:qFormat/>
    <w:pPr>
      <w:spacing w:after="120" w:line="288" w:lineRule="auto"/>
    </w:pPr>
  </w:style>
  <w:style w:type="paragraph" w:customStyle="1" w:styleId="Caption1">
    <w:name w:val="Caption1"/>
    <w:basedOn w:val="Normal"/>
    <w:qFormat/>
    <w:pPr>
      <w:suppressLineNumbers/>
      <w:spacing w:before="120" w:after="120"/>
    </w:pPr>
    <w:rPr>
      <w:rFonts w:cs="FreeSans"/>
      <w:i/>
      <w:iCs/>
    </w:rPr>
  </w:style>
  <w:style w:type="paragraph" w:styleId="Caption">
    <w:name w:val="caption"/>
    <w:basedOn w:val="Normal"/>
    <w:qFormat/>
    <w:pPr>
      <w:suppressLineNumbers/>
      <w:spacing w:before="120" w:after="120"/>
    </w:pPr>
    <w:rPr>
      <w:rFonts w:cs="FreeSans"/>
      <w:i/>
      <w:iCs/>
    </w:rPr>
  </w:style>
  <w:style w:type="paragraph" w:customStyle="1" w:styleId="Encabezado1">
    <w:name w:val="Encabezado1"/>
    <w:basedOn w:val="Normal"/>
    <w:qFormat/>
    <w:pPr>
      <w:keepNext/>
      <w:spacing w:before="240" w:after="120"/>
    </w:pPr>
    <w:rPr>
      <w:rFonts w:ascii="Arial" w:eastAsia="DejaVu Sans;Arial Unicode MS" w:hAnsi="Arial" w:cs="DejaVu Sans;Arial Unicode MS"/>
      <w:sz w:val="28"/>
      <w:szCs w:val="28"/>
    </w:rPr>
  </w:style>
  <w:style w:type="paragraph" w:customStyle="1" w:styleId="Etiqueta">
    <w:name w:val="Etiqueta"/>
    <w:basedOn w:val="Normal"/>
    <w:qFormat/>
    <w:pPr>
      <w:suppressLineNumbers/>
      <w:spacing w:before="120" w:after="120"/>
    </w:pPr>
    <w:rPr>
      <w:i/>
      <w:iCs/>
    </w:rPr>
  </w:style>
  <w:style w:type="paragraph" w:customStyle="1" w:styleId="01title">
    <w:name w:val="01.title"/>
    <w:basedOn w:val="Normal"/>
    <w:qFormat/>
    <w:pPr>
      <w:spacing w:before="360" w:after="360" w:line="480" w:lineRule="auto"/>
      <w:jc w:val="center"/>
    </w:pPr>
    <w:rPr>
      <w:b/>
      <w:sz w:val="36"/>
      <w:lang w:val="en-US"/>
    </w:rPr>
  </w:style>
  <w:style w:type="paragraph" w:customStyle="1" w:styleId="02authors">
    <w:name w:val="02.authors"/>
    <w:basedOn w:val="Normal"/>
    <w:qFormat/>
    <w:pPr>
      <w:spacing w:line="480" w:lineRule="auto"/>
      <w:jc w:val="center"/>
    </w:pPr>
    <w:rPr>
      <w:b/>
      <w:lang w:val="en-US"/>
    </w:rPr>
  </w:style>
  <w:style w:type="paragraph" w:customStyle="1" w:styleId="03address">
    <w:name w:val="03.address'"/>
    <w:basedOn w:val="Normal"/>
    <w:next w:val="Normal"/>
    <w:qFormat/>
    <w:pPr>
      <w:spacing w:line="480" w:lineRule="auto"/>
      <w:jc w:val="center"/>
    </w:pPr>
    <w:rPr>
      <w:lang w:val="en-US"/>
    </w:rPr>
  </w:style>
  <w:style w:type="paragraph" w:customStyle="1" w:styleId="08text">
    <w:name w:val="08.text"/>
    <w:basedOn w:val="Normal"/>
    <w:qFormat/>
    <w:pPr>
      <w:spacing w:line="480" w:lineRule="auto"/>
      <w:jc w:val="both"/>
    </w:pPr>
    <w:rPr>
      <w:lang w:val="en-US"/>
    </w:rPr>
  </w:style>
  <w:style w:type="paragraph" w:customStyle="1" w:styleId="TextBodyIndent">
    <w:name w:val="Text Body Indent"/>
    <w:basedOn w:val="Normal"/>
    <w:qFormat/>
    <w:pPr>
      <w:spacing w:after="120"/>
      <w:ind w:left="283"/>
    </w:pPr>
  </w:style>
  <w:style w:type="paragraph" w:customStyle="1" w:styleId="Footnote">
    <w:name w:val="Footnote"/>
    <w:basedOn w:val="Normal"/>
    <w:qFormat/>
    <w:rPr>
      <w:sz w:val="20"/>
      <w:szCs w:val="20"/>
    </w:rPr>
  </w:style>
  <w:style w:type="paragraph" w:customStyle="1" w:styleId="Contenidodelatabla">
    <w:name w:val="Contenido de la tabla"/>
    <w:basedOn w:val="Normal"/>
    <w:qFormat/>
    <w:pPr>
      <w:suppressLineNumbers/>
    </w:pPr>
  </w:style>
  <w:style w:type="paragraph" w:customStyle="1" w:styleId="Ttulodelatabla">
    <w:name w:val="Título de la tabla"/>
    <w:basedOn w:val="Contenidodelatabla"/>
    <w:qFormat/>
    <w:pPr>
      <w:jc w:val="center"/>
    </w:pPr>
    <w:rPr>
      <w:b/>
      <w:bCs/>
    </w:rPr>
  </w:style>
  <w:style w:type="paragraph" w:styleId="ListParagraph">
    <w:name w:val="List Paragraph"/>
    <w:basedOn w:val="Normal"/>
    <w:uiPriority w:val="34"/>
    <w:qFormat/>
    <w:rsid w:val="00F0072E"/>
    <w:pPr>
      <w:ind w:left="720"/>
      <w:contextualSpacing/>
    </w:pPr>
  </w:style>
  <w:style w:type="paragraph" w:styleId="CommentText">
    <w:name w:val="annotation text"/>
    <w:basedOn w:val="Normal"/>
    <w:link w:val="CommentTextChar"/>
    <w:uiPriority w:val="99"/>
    <w:semiHidden/>
    <w:unhideWhenUsed/>
    <w:qFormat/>
    <w:rsid w:val="007527E3"/>
    <w:rPr>
      <w:sz w:val="20"/>
      <w:szCs w:val="20"/>
    </w:rPr>
  </w:style>
  <w:style w:type="paragraph" w:styleId="CommentSubject">
    <w:name w:val="annotation subject"/>
    <w:basedOn w:val="CommentText"/>
    <w:link w:val="CommentSubjectChar"/>
    <w:uiPriority w:val="99"/>
    <w:semiHidden/>
    <w:unhideWhenUsed/>
    <w:qFormat/>
    <w:rsid w:val="007527E3"/>
    <w:rPr>
      <w:b/>
      <w:bCs/>
    </w:rPr>
  </w:style>
  <w:style w:type="paragraph" w:styleId="BalloonText">
    <w:name w:val="Balloon Text"/>
    <w:basedOn w:val="Normal"/>
    <w:link w:val="BalloonTextChar"/>
    <w:uiPriority w:val="99"/>
    <w:semiHidden/>
    <w:unhideWhenUsed/>
    <w:qFormat/>
    <w:rsid w:val="007527E3"/>
    <w:rPr>
      <w:rFonts w:ascii="Segoe UI" w:hAnsi="Segoe UI" w:cs="Segoe UI"/>
      <w:sz w:val="18"/>
      <w:szCs w:val="18"/>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character" w:styleId="Hyperlink">
    <w:name w:val="Hyperlink"/>
    <w:basedOn w:val="DefaultParagraphFont"/>
    <w:uiPriority w:val="99"/>
    <w:unhideWhenUsed/>
    <w:rsid w:val="00750130"/>
    <w:rPr>
      <w:color w:val="0563C1" w:themeColor="hyperlink"/>
      <w:u w:val="single"/>
    </w:rPr>
  </w:style>
  <w:style w:type="character" w:customStyle="1" w:styleId="Mencinsinresolver1">
    <w:name w:val="Mención sin resolver1"/>
    <w:basedOn w:val="DefaultParagraphFont"/>
    <w:uiPriority w:val="99"/>
    <w:semiHidden/>
    <w:unhideWhenUsed/>
    <w:rsid w:val="00750130"/>
    <w:rPr>
      <w:color w:val="605E5C"/>
      <w:shd w:val="clear" w:color="auto" w:fill="E1DFDD"/>
    </w:rPr>
  </w:style>
  <w:style w:type="paragraph" w:styleId="Header">
    <w:name w:val="header"/>
    <w:basedOn w:val="Normal"/>
    <w:link w:val="HeaderChar"/>
    <w:uiPriority w:val="99"/>
    <w:unhideWhenUsed/>
    <w:rsid w:val="00AA2057"/>
    <w:pPr>
      <w:tabs>
        <w:tab w:val="center" w:pos="4252"/>
        <w:tab w:val="right" w:pos="8504"/>
      </w:tabs>
    </w:pPr>
  </w:style>
  <w:style w:type="character" w:customStyle="1" w:styleId="HeaderChar">
    <w:name w:val="Header Char"/>
    <w:basedOn w:val="DefaultParagraphFont"/>
    <w:link w:val="Header"/>
    <w:uiPriority w:val="99"/>
    <w:rsid w:val="00AA2057"/>
    <w:rPr>
      <w:rFonts w:ascii="Times New Roman" w:eastAsia="Times New Roman" w:hAnsi="Times New Roman" w:cs="Times New Roman"/>
      <w:color w:val="00000A"/>
      <w:lang w:val="es-ES" w:bidi="ar-SA"/>
    </w:rPr>
  </w:style>
  <w:style w:type="paragraph" w:styleId="Footer">
    <w:name w:val="footer"/>
    <w:basedOn w:val="Normal"/>
    <w:link w:val="FooterChar"/>
    <w:uiPriority w:val="99"/>
    <w:unhideWhenUsed/>
    <w:rsid w:val="00AA2057"/>
    <w:pPr>
      <w:tabs>
        <w:tab w:val="center" w:pos="4252"/>
        <w:tab w:val="right" w:pos="8504"/>
      </w:tabs>
    </w:pPr>
  </w:style>
  <w:style w:type="character" w:customStyle="1" w:styleId="FooterChar">
    <w:name w:val="Footer Char"/>
    <w:basedOn w:val="DefaultParagraphFont"/>
    <w:link w:val="Footer"/>
    <w:uiPriority w:val="99"/>
    <w:rsid w:val="00AA2057"/>
    <w:rPr>
      <w:rFonts w:ascii="Times New Roman" w:eastAsia="Times New Roman" w:hAnsi="Times New Roman" w:cs="Times New Roman"/>
      <w:color w:val="00000A"/>
      <w:lang w:val="es-ES" w:bidi="ar-SA"/>
    </w:rPr>
  </w:style>
  <w:style w:type="table" w:styleId="TableGrid">
    <w:name w:val="Table Grid"/>
    <w:basedOn w:val="TableNormal"/>
    <w:uiPriority w:val="39"/>
    <w:rsid w:val="00964B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9048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057904">
      <w:bodyDiv w:val="1"/>
      <w:marLeft w:val="0"/>
      <w:marRight w:val="0"/>
      <w:marTop w:val="0"/>
      <w:marBottom w:val="0"/>
      <w:divBdr>
        <w:top w:val="none" w:sz="0" w:space="0" w:color="auto"/>
        <w:left w:val="none" w:sz="0" w:space="0" w:color="auto"/>
        <w:bottom w:val="none" w:sz="0" w:space="0" w:color="auto"/>
        <w:right w:val="none" w:sz="0" w:space="0" w:color="auto"/>
      </w:divBdr>
    </w:div>
    <w:div w:id="863784537">
      <w:bodyDiv w:val="1"/>
      <w:marLeft w:val="0"/>
      <w:marRight w:val="0"/>
      <w:marTop w:val="0"/>
      <w:marBottom w:val="0"/>
      <w:divBdr>
        <w:top w:val="none" w:sz="0" w:space="0" w:color="auto"/>
        <w:left w:val="none" w:sz="0" w:space="0" w:color="auto"/>
        <w:bottom w:val="none" w:sz="0" w:space="0" w:color="auto"/>
        <w:right w:val="none" w:sz="0" w:space="0" w:color="auto"/>
      </w:divBdr>
    </w:div>
    <w:div w:id="958222905">
      <w:bodyDiv w:val="1"/>
      <w:marLeft w:val="0"/>
      <w:marRight w:val="0"/>
      <w:marTop w:val="0"/>
      <w:marBottom w:val="0"/>
      <w:divBdr>
        <w:top w:val="none" w:sz="0" w:space="0" w:color="auto"/>
        <w:left w:val="none" w:sz="0" w:space="0" w:color="auto"/>
        <w:bottom w:val="none" w:sz="0" w:space="0" w:color="auto"/>
        <w:right w:val="none" w:sz="0" w:space="0" w:color="auto"/>
      </w:divBdr>
    </w:div>
    <w:div w:id="13822498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amaia.ortiz@imdea.org"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FD383E-A836-4FA6-A907-84FC882211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10</Pages>
  <Words>7160</Words>
  <Characters>40816</Characters>
  <Application>Microsoft Office Word</Application>
  <DocSecurity>0</DocSecurity>
  <Lines>340</Lines>
  <Paragraphs>95</Paragraphs>
  <ScaleCrop>false</ScaleCrop>
  <Company>Facultad de Derecho - Universidad de Alcalá</Company>
  <LinksUpToDate>false</LinksUpToDate>
  <CharactersWithSpaces>47881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CAMBIOS CORNEALES INDUCIDOS POR ABLACIÓN LÁSER: EVOLUCIÓN DE LA CALIDAD VISUAL MEDIANTE UN MODELO DE OJO PERSONALIZADO</dc:title>
  <dc:subject/>
  <dc:creator>Dpt. Octica</dc:creator>
  <dc:description/>
  <cp:lastModifiedBy>Amaia Ortiz</cp:lastModifiedBy>
  <cp:revision>4</cp:revision>
  <cp:lastPrinted>2009-02-27T16:29:00Z</cp:lastPrinted>
  <dcterms:created xsi:type="dcterms:W3CDTF">2021-03-16T10:50:00Z</dcterms:created>
  <dcterms:modified xsi:type="dcterms:W3CDTF">2021-09-20T06:49:00Z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Facultad de Derecho - Universidad de Alcalá</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y fmtid="{D5CDD505-2E9C-101B-9397-08002B2CF9AE}" pid="9" name="Mendeley Recent Style Id 0_1">
    <vt:lpwstr>http://www.zotero.org/styles/american-political-science-association</vt:lpwstr>
  </property>
  <property fmtid="{D5CDD505-2E9C-101B-9397-08002B2CF9AE}" pid="10" name="Mendeley Recent Style Name 0_1">
    <vt:lpwstr>American Political Science Association</vt:lpwstr>
  </property>
  <property fmtid="{D5CDD505-2E9C-101B-9397-08002B2CF9AE}" pid="11" name="Mendeley Recent Style Id 1_1">
    <vt:lpwstr>http://www.zotero.org/styles/apa</vt:lpwstr>
  </property>
  <property fmtid="{D5CDD505-2E9C-101B-9397-08002B2CF9AE}" pid="12" name="Mendeley Recent Style Name 1_1">
    <vt:lpwstr>American Psychological Association 7th edition</vt:lpwstr>
  </property>
  <property fmtid="{D5CDD505-2E9C-101B-9397-08002B2CF9AE}" pid="13" name="Mendeley Recent Style Id 2_1">
    <vt:lpwstr>http://www.zotero.org/styles/american-sociological-association</vt:lpwstr>
  </property>
  <property fmtid="{D5CDD505-2E9C-101B-9397-08002B2CF9AE}" pid="14" name="Mendeley Recent Style Name 2_1">
    <vt:lpwstr>American Sociological Association 6th edition</vt:lpwstr>
  </property>
  <property fmtid="{D5CDD505-2E9C-101B-9397-08002B2CF9AE}" pid="15" name="Mendeley Recent Style Id 3_1">
    <vt:lpwstr>http://www.zotero.org/styles/chicago-author-date</vt:lpwstr>
  </property>
  <property fmtid="{D5CDD505-2E9C-101B-9397-08002B2CF9AE}" pid="16" name="Mendeley Recent Style Name 3_1">
    <vt:lpwstr>Chicago Manual of Style 17th edition (author-date)</vt:lpwstr>
  </property>
  <property fmtid="{D5CDD505-2E9C-101B-9397-08002B2CF9AE}" pid="17" name="Mendeley Recent Style Id 4_1">
    <vt:lpwstr>http://www.zotero.org/styles/harvard-cite-them-right</vt:lpwstr>
  </property>
  <property fmtid="{D5CDD505-2E9C-101B-9397-08002B2CF9AE}" pid="18" name="Mendeley Recent Style Name 4_1">
    <vt:lpwstr>Cite Them Right 10th edition - Harvard</vt:lpwstr>
  </property>
  <property fmtid="{D5CDD505-2E9C-101B-9397-08002B2CF9AE}" pid="19" name="Mendeley Recent Style Id 5_1">
    <vt:lpwstr>http://www.zotero.org/styles/ieee</vt:lpwstr>
  </property>
  <property fmtid="{D5CDD505-2E9C-101B-9397-08002B2CF9AE}" pid="20" name="Mendeley Recent Style Name 5_1">
    <vt:lpwstr>IEEE</vt:lpwstr>
  </property>
  <property fmtid="{D5CDD505-2E9C-101B-9397-08002B2CF9AE}" pid="21" name="Mendeley Recent Style Id 6_1">
    <vt:lpwstr>http://www.zotero.org/styles/journal-of-membrane-science</vt:lpwstr>
  </property>
  <property fmtid="{D5CDD505-2E9C-101B-9397-08002B2CF9AE}" pid="22" name="Mendeley Recent Style Name 6_1">
    <vt:lpwstr>Journal of Membrane Science</vt:lpwstr>
  </property>
  <property fmtid="{D5CDD505-2E9C-101B-9397-08002B2CF9AE}" pid="23" name="Mendeley Recent Style Id 7_1">
    <vt:lpwstr>http://www.zotero.org/styles/modern-humanities-research-association</vt:lpwstr>
  </property>
  <property fmtid="{D5CDD505-2E9C-101B-9397-08002B2CF9AE}" pid="24" name="Mendeley Recent Style Name 7_1">
    <vt:lpwstr>Modern Humanities Research Association 3rd edition (note with bibliography)</vt:lpwstr>
  </property>
  <property fmtid="{D5CDD505-2E9C-101B-9397-08002B2CF9AE}" pid="25" name="Mendeley Recent Style Id 8_1">
    <vt:lpwstr>http://www.zotero.org/styles/modern-language-association</vt:lpwstr>
  </property>
  <property fmtid="{D5CDD505-2E9C-101B-9397-08002B2CF9AE}" pid="26" name="Mendeley Recent Style Name 8_1">
    <vt:lpwstr>Modern Language Association 8th edition</vt:lpwstr>
  </property>
  <property fmtid="{D5CDD505-2E9C-101B-9397-08002B2CF9AE}" pid="27" name="Mendeley Recent Style Id 9_1">
    <vt:lpwstr>http://www.zotero.org/styles/nature</vt:lpwstr>
  </property>
  <property fmtid="{D5CDD505-2E9C-101B-9397-08002B2CF9AE}" pid="28" name="Mendeley Recent Style Name 9_1">
    <vt:lpwstr>Nature</vt:lpwstr>
  </property>
  <property fmtid="{D5CDD505-2E9C-101B-9397-08002B2CF9AE}" pid="29" name="Mendeley Document_1">
    <vt:lpwstr>True</vt:lpwstr>
  </property>
  <property fmtid="{D5CDD505-2E9C-101B-9397-08002B2CF9AE}" pid="30" name="Mendeley Citation Style_1">
    <vt:lpwstr>http://www.zotero.org/styles/apa</vt:lpwstr>
  </property>
  <property fmtid="{D5CDD505-2E9C-101B-9397-08002B2CF9AE}" pid="31" name="Mendeley Unique User Id_1">
    <vt:lpwstr>59f2d148-664e-3ef1-9baa-60cb67582fc1</vt:lpwstr>
  </property>
</Properties>
</file>